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683" w:rsidRDefault="002974EE">
      <w:pPr>
        <w:spacing w:before="120"/>
        <w:jc w:val="center"/>
      </w:pPr>
      <w:bookmarkStart w:id="0" w:name="_GoBack"/>
      <w:bookmarkEnd w:id="0"/>
      <w:r>
        <w:rPr>
          <w:b/>
          <w:sz w:val="36"/>
          <w:szCs w:val="36"/>
        </w:rPr>
        <w:t>ORELAAQEP Annual Report for 2022</w:t>
      </w:r>
    </w:p>
    <w:p w:rsidR="00E53683" w:rsidRDefault="00E53683">
      <w:pPr>
        <w:jc w:val="center"/>
      </w:pPr>
    </w:p>
    <w:tbl>
      <w:tblPr>
        <w:tblStyle w:val="afff8"/>
        <w:tblW w:w="13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80"/>
        <w:gridCol w:w="8070"/>
      </w:tblGrid>
      <w:tr w:rsidR="00E53683">
        <w:trPr>
          <w:trHeight w:val="21"/>
        </w:trPr>
        <w:tc>
          <w:tcPr>
            <w:tcW w:w="4980" w:type="dxa"/>
            <w:tcMar>
              <w:top w:w="100" w:type="dxa"/>
              <w:left w:w="100" w:type="dxa"/>
              <w:bottom w:w="100" w:type="dxa"/>
              <w:right w:w="100" w:type="dxa"/>
            </w:tcMar>
          </w:tcPr>
          <w:p w:rsidR="00E53683" w:rsidRDefault="002974EE">
            <w:pPr>
              <w:spacing w:line="276" w:lineRule="auto"/>
              <w:rPr>
                <w:rFonts w:ascii="Arial" w:eastAsia="Arial" w:hAnsi="Arial" w:cs="Arial"/>
                <w:sz w:val="22"/>
                <w:szCs w:val="22"/>
              </w:rPr>
            </w:pPr>
            <w:r>
              <w:rPr>
                <w:rFonts w:ascii="Arial" w:eastAsia="Arial" w:hAnsi="Arial" w:cs="Arial"/>
                <w:sz w:val="22"/>
                <w:szCs w:val="22"/>
              </w:rPr>
              <w:t>Provider/Program Name:</w:t>
            </w:r>
          </w:p>
        </w:tc>
        <w:tc>
          <w:tcPr>
            <w:tcW w:w="8070" w:type="dxa"/>
            <w:shd w:val="clear" w:color="auto" w:fill="D0E0E3"/>
            <w:tcMar>
              <w:top w:w="100" w:type="dxa"/>
              <w:left w:w="100" w:type="dxa"/>
              <w:bottom w:w="100" w:type="dxa"/>
              <w:right w:w="100" w:type="dxa"/>
            </w:tcMar>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Eastern Oregon University</w:t>
            </w:r>
          </w:p>
        </w:tc>
      </w:tr>
      <w:tr w:rsidR="00E53683">
        <w:trPr>
          <w:trHeight w:val="21"/>
        </w:trPr>
        <w:tc>
          <w:tcPr>
            <w:tcW w:w="4980" w:type="dxa"/>
            <w:tcMar>
              <w:top w:w="100" w:type="dxa"/>
              <w:left w:w="100" w:type="dxa"/>
              <w:bottom w:w="100" w:type="dxa"/>
              <w:right w:w="100" w:type="dxa"/>
            </w:tcMar>
          </w:tcPr>
          <w:p w:rsidR="00E53683" w:rsidRDefault="002974EE">
            <w:pPr>
              <w:spacing w:line="276" w:lineRule="auto"/>
              <w:rPr>
                <w:rFonts w:ascii="Arial" w:eastAsia="Arial" w:hAnsi="Arial" w:cs="Arial"/>
                <w:sz w:val="22"/>
                <w:szCs w:val="22"/>
              </w:rPr>
            </w:pPr>
            <w:r>
              <w:rPr>
                <w:rFonts w:ascii="Arial" w:eastAsia="Arial" w:hAnsi="Arial" w:cs="Arial"/>
                <w:sz w:val="22"/>
                <w:szCs w:val="22"/>
              </w:rPr>
              <w:t>End Date of Current AAQEP Accreditation Term (or “n/a” if not yet accredited):</w:t>
            </w:r>
          </w:p>
        </w:tc>
        <w:tc>
          <w:tcPr>
            <w:tcW w:w="8070" w:type="dxa"/>
            <w:shd w:val="clear" w:color="auto" w:fill="D0E0E3"/>
            <w:tcMar>
              <w:top w:w="100" w:type="dxa"/>
              <w:left w:w="100" w:type="dxa"/>
              <w:bottom w:w="100" w:type="dxa"/>
              <w:right w:w="100" w:type="dxa"/>
            </w:tcMar>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June 30, 2028</w:t>
            </w:r>
          </w:p>
        </w:tc>
      </w:tr>
    </w:tbl>
    <w:p w:rsidR="00E53683" w:rsidRDefault="00E53683">
      <w:pPr>
        <w:sectPr w:rsidR="00E53683">
          <w:footerReference w:type="default" r:id="rId8"/>
          <w:headerReference w:type="first" r:id="rId9"/>
          <w:footerReference w:type="first" r:id="rId10"/>
          <w:pgSz w:w="15840" w:h="12240" w:orient="landscape"/>
          <w:pgMar w:top="1440" w:right="1440" w:bottom="1440" w:left="1440" w:header="720" w:footer="720" w:gutter="0"/>
          <w:pgNumType w:start="1"/>
          <w:cols w:space="720"/>
          <w:titlePg/>
        </w:sectPr>
      </w:pPr>
    </w:p>
    <w:p w:rsidR="00E53683" w:rsidRDefault="00E53683"/>
    <w:p w:rsidR="00E53683" w:rsidRDefault="002974EE">
      <w:pPr>
        <w:jc w:val="center"/>
        <w:rPr>
          <w:b/>
          <w:sz w:val="32"/>
          <w:szCs w:val="32"/>
        </w:rPr>
      </w:pPr>
      <w:r>
        <w:rPr>
          <w:b/>
          <w:sz w:val="32"/>
          <w:szCs w:val="32"/>
        </w:rPr>
        <w:t>PART I: Publicly Available Program Performance and Candidate Achievemen</w:t>
      </w:r>
      <w:r>
        <w:rPr>
          <w:b/>
          <w:sz w:val="32"/>
          <w:szCs w:val="32"/>
        </w:rPr>
        <w:t>t Data</w:t>
      </w:r>
    </w:p>
    <w:p w:rsidR="00E53683" w:rsidRDefault="00E53683"/>
    <w:p w:rsidR="00E53683" w:rsidRDefault="002974EE">
      <w:pPr>
        <w:numPr>
          <w:ilvl w:val="0"/>
          <w:numId w:val="7"/>
        </w:numPr>
        <w:pBdr>
          <w:top w:val="nil"/>
          <w:left w:val="nil"/>
          <w:bottom w:val="nil"/>
          <w:right w:val="nil"/>
          <w:between w:val="nil"/>
        </w:pBdr>
        <w:spacing w:after="120"/>
        <w:ind w:left="360"/>
        <w:rPr>
          <w:b/>
          <w:color w:val="000000"/>
          <w:sz w:val="28"/>
          <w:szCs w:val="28"/>
        </w:rPr>
      </w:pPr>
      <w:r>
        <w:rPr>
          <w:b/>
          <w:color w:val="000000"/>
          <w:sz w:val="28"/>
          <w:szCs w:val="28"/>
        </w:rPr>
        <w:t>Overview and Context</w:t>
      </w:r>
    </w:p>
    <w:p w:rsidR="00E53683" w:rsidRDefault="002974EE">
      <w:pPr>
        <w:spacing w:after="200"/>
      </w:pPr>
      <w:r>
        <w:t>This overview describes the mission and context of the educator preparation provider and the programs included in its AAQEP review.</w:t>
      </w:r>
    </w:p>
    <w:tbl>
      <w:tblPr>
        <w:tblStyle w:val="afff9"/>
        <w:tblW w:w="129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961"/>
      </w:tblGrid>
      <w:tr w:rsidR="00E53683">
        <w:trPr>
          <w:trHeight w:val="21"/>
        </w:trPr>
        <w:tc>
          <w:tcPr>
            <w:tcW w:w="12961" w:type="dxa"/>
            <w:shd w:val="clear" w:color="auto" w:fill="D0E0E3"/>
            <w:tcMar>
              <w:top w:w="100" w:type="dxa"/>
              <w:left w:w="100" w:type="dxa"/>
              <w:bottom w:w="100" w:type="dxa"/>
              <w:right w:w="100" w:type="dxa"/>
            </w:tcMar>
          </w:tcPr>
          <w:p w:rsidR="00E53683" w:rsidRDefault="002974EE">
            <w:pPr>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The mission of EOU:</w:t>
            </w:r>
          </w:p>
          <w:p w:rsidR="00E53683" w:rsidRDefault="002974EE">
            <w:pPr>
              <w:ind w:left="720"/>
              <w:rPr>
                <w:rFonts w:ascii="Times New Roman" w:eastAsia="Times New Roman" w:hAnsi="Times New Roman" w:cs="Times New Roman"/>
              </w:rPr>
            </w:pPr>
            <w:bookmarkStart w:id="2" w:name="_heading=h.v8exsmqysntt" w:colFirst="0" w:colLast="0"/>
            <w:bookmarkEnd w:id="2"/>
            <w:r>
              <w:rPr>
                <w:rFonts w:ascii="Times New Roman" w:eastAsia="Times New Roman" w:hAnsi="Times New Roman" w:cs="Times New Roman"/>
              </w:rPr>
              <w:t xml:space="preserve">EOU guides student inquiry through integrated, high-quality liberal arts and professional programs that lead to responsible and reflective action in a diverse and interconnected world. </w:t>
            </w:r>
          </w:p>
          <w:p w:rsidR="00E53683" w:rsidRDefault="00E53683">
            <w:pPr>
              <w:ind w:left="720"/>
              <w:rPr>
                <w:rFonts w:ascii="Times New Roman" w:eastAsia="Times New Roman" w:hAnsi="Times New Roman" w:cs="Times New Roman"/>
              </w:rPr>
            </w:pPr>
            <w:bookmarkStart w:id="3" w:name="_heading=h.vnmqgj8ql2j8" w:colFirst="0" w:colLast="0"/>
            <w:bookmarkEnd w:id="3"/>
          </w:p>
          <w:p w:rsidR="00E53683" w:rsidRDefault="002974EE">
            <w:pPr>
              <w:ind w:left="720"/>
              <w:rPr>
                <w:rFonts w:ascii="Times New Roman" w:eastAsia="Times New Roman" w:hAnsi="Times New Roman" w:cs="Times New Roman"/>
              </w:rPr>
            </w:pPr>
            <w:bookmarkStart w:id="4" w:name="_heading=h.5qqemy4rv7mq" w:colFirst="0" w:colLast="0"/>
            <w:bookmarkEnd w:id="4"/>
            <w:r>
              <w:rPr>
                <w:rFonts w:ascii="Times New Roman" w:eastAsia="Times New Roman" w:hAnsi="Times New Roman" w:cs="Times New Roman"/>
              </w:rPr>
              <w:t>As an educational, cultural and scholarly center, EOU connects the ru</w:t>
            </w:r>
            <w:r>
              <w:rPr>
                <w:rFonts w:ascii="Times New Roman" w:eastAsia="Times New Roman" w:hAnsi="Times New Roman" w:cs="Times New Roman"/>
              </w:rPr>
              <w:t>ral regions of Oregon to a wider world. Our beautiful setting and small size enhance the personal attention our students receive, while partnerships with colleges, universities, agencies and communities add to the educational possibilities of our region an</w:t>
            </w:r>
            <w:r>
              <w:rPr>
                <w:rFonts w:ascii="Times New Roman" w:eastAsia="Times New Roman" w:hAnsi="Times New Roman" w:cs="Times New Roman"/>
              </w:rPr>
              <w:t>d state.</w:t>
            </w:r>
          </w:p>
          <w:p w:rsidR="00E53683" w:rsidRDefault="00E53683">
            <w:pPr>
              <w:ind w:left="720"/>
              <w:rPr>
                <w:rFonts w:ascii="Times New Roman" w:eastAsia="Times New Roman" w:hAnsi="Times New Roman" w:cs="Times New Roman"/>
              </w:rPr>
            </w:pPr>
            <w:bookmarkStart w:id="5" w:name="_heading=h.w1sx4bbgkf9v" w:colFirst="0" w:colLast="0"/>
            <w:bookmarkEnd w:id="5"/>
          </w:p>
          <w:p w:rsidR="00E53683" w:rsidRDefault="002974EE">
            <w:pPr>
              <w:rPr>
                <w:rFonts w:ascii="Times New Roman" w:eastAsia="Times New Roman" w:hAnsi="Times New Roman" w:cs="Times New Roman"/>
              </w:rPr>
            </w:pPr>
            <w:bookmarkStart w:id="6" w:name="_heading=h.emj99oz2kdhh" w:colFirst="0" w:colLast="0"/>
            <w:bookmarkEnd w:id="6"/>
            <w:r>
              <w:rPr>
                <w:rFonts w:ascii="Times New Roman" w:eastAsia="Times New Roman" w:hAnsi="Times New Roman" w:cs="Times New Roman"/>
              </w:rPr>
              <w:t xml:space="preserve">The Core Themes and objectives can be found on the </w:t>
            </w:r>
            <w:hyperlink r:id="rId11">
              <w:r>
                <w:rPr>
                  <w:rFonts w:ascii="Times New Roman" w:eastAsia="Times New Roman" w:hAnsi="Times New Roman" w:cs="Times New Roman"/>
                  <w:color w:val="1155CC"/>
                  <w:u w:val="single"/>
                </w:rPr>
                <w:t>EOU Mission and Core Themes page</w:t>
              </w:r>
            </w:hyperlink>
            <w:r>
              <w:rPr>
                <w:rFonts w:ascii="Times New Roman" w:eastAsia="Times New Roman" w:hAnsi="Times New Roman" w:cs="Times New Roman"/>
              </w:rPr>
              <w:t>.</w:t>
            </w:r>
          </w:p>
          <w:p w:rsidR="00E53683" w:rsidRDefault="00E53683">
            <w:pPr>
              <w:rPr>
                <w:rFonts w:ascii="Times New Roman" w:eastAsia="Times New Roman" w:hAnsi="Times New Roman" w:cs="Times New Roman"/>
              </w:rPr>
            </w:pPr>
          </w:p>
          <w:p w:rsidR="00E53683" w:rsidRDefault="002974EE">
            <w:pPr>
              <w:rPr>
                <w:rFonts w:ascii="Times New Roman" w:eastAsia="Times New Roman" w:hAnsi="Times New Roman" w:cs="Times New Roman"/>
              </w:rPr>
            </w:pPr>
            <w:r>
              <w:rPr>
                <w:rFonts w:ascii="Times New Roman" w:eastAsia="Times New Roman" w:hAnsi="Times New Roman" w:cs="Times New Roman"/>
                <w:b/>
              </w:rPr>
              <w:t>EOU College Structure</w:t>
            </w:r>
          </w:p>
          <w:p w:rsidR="00E53683" w:rsidRDefault="002974EE">
            <w:pPr>
              <w:rPr>
                <w:rFonts w:ascii="Times New Roman" w:eastAsia="Times New Roman" w:hAnsi="Times New Roman" w:cs="Times New Roman"/>
              </w:rPr>
            </w:pPr>
            <w:r>
              <w:rPr>
                <w:rFonts w:ascii="Times New Roman" w:eastAsia="Times New Roman" w:hAnsi="Times New Roman" w:cs="Times New Roman"/>
              </w:rPr>
              <w:t>EOU has four colleges: College of Education (COE), College of Business (COB), College or Arts, Humanities, and Social Sciences, and College of STM and Health Science.  Additional programs offered at EOU include: a partnership with College of STM and Health</w:t>
            </w:r>
            <w:r>
              <w:rPr>
                <w:rFonts w:ascii="Times New Roman" w:eastAsia="Times New Roman" w:hAnsi="Times New Roman" w:cs="Times New Roman"/>
              </w:rPr>
              <w:t xml:space="preserve"> Science, a partnership with OHSU School of Nursing, Eastern Promise, and Military Science &amp; ROTC.  EOU currently offers 37 degrees, with 22 of them being fully online degrees.  </w:t>
            </w:r>
          </w:p>
          <w:p w:rsidR="00E53683" w:rsidRDefault="00E53683">
            <w:pPr>
              <w:rPr>
                <w:rFonts w:ascii="Times New Roman" w:eastAsia="Times New Roman" w:hAnsi="Times New Roman" w:cs="Times New Roman"/>
              </w:rPr>
            </w:pPr>
          </w:p>
          <w:p w:rsidR="00E53683" w:rsidRDefault="002974EE">
            <w:pPr>
              <w:rPr>
                <w:rFonts w:ascii="Times New Roman" w:eastAsia="Times New Roman" w:hAnsi="Times New Roman" w:cs="Times New Roman"/>
              </w:rPr>
            </w:pPr>
            <w:r>
              <w:rPr>
                <w:rFonts w:ascii="Times New Roman" w:eastAsia="Times New Roman" w:hAnsi="Times New Roman" w:cs="Times New Roman"/>
              </w:rPr>
              <w:t>EOU’s current enrollment is approximately 3,000 students including those att</w:t>
            </w:r>
            <w:r>
              <w:rPr>
                <w:rFonts w:ascii="Times New Roman" w:eastAsia="Times New Roman" w:hAnsi="Times New Roman" w:cs="Times New Roman"/>
              </w:rPr>
              <w:t>ending online. Within the state, EOU serves the highest percentage of students eligible to receive the Federal Pell Grant</w:t>
            </w:r>
            <w:r>
              <w:rPr>
                <w:rFonts w:ascii="Times New Roman" w:eastAsia="Times New Roman" w:hAnsi="Times New Roman" w:cs="Times New Roman"/>
                <w:color w:val="4F4F4F"/>
                <w:sz w:val="21"/>
                <w:szCs w:val="21"/>
              </w:rPr>
              <w:t xml:space="preserve">. </w:t>
            </w:r>
            <w:r>
              <w:rPr>
                <w:rFonts w:ascii="Times New Roman" w:eastAsia="Times New Roman" w:hAnsi="Times New Roman" w:cs="Times New Roman"/>
              </w:rPr>
              <w:t xml:space="preserve">Of the student population, 28% identify as culturally and ethnically diverse.  EOU was recently ranked among the best value colleges </w:t>
            </w:r>
            <w:r>
              <w:rPr>
                <w:rFonts w:ascii="Times New Roman" w:eastAsia="Times New Roman" w:hAnsi="Times New Roman" w:cs="Times New Roman"/>
              </w:rPr>
              <w:t>in the Northwest for return-on-investment.</w:t>
            </w:r>
          </w:p>
          <w:p w:rsidR="00E53683" w:rsidRDefault="00E53683">
            <w:pPr>
              <w:rPr>
                <w:rFonts w:ascii="Times New Roman" w:eastAsia="Times New Roman" w:hAnsi="Times New Roman" w:cs="Times New Roman"/>
              </w:rPr>
            </w:pPr>
          </w:p>
          <w:p w:rsidR="00E53683" w:rsidRDefault="002974EE">
            <w:pPr>
              <w:rPr>
                <w:rFonts w:ascii="Times New Roman" w:eastAsia="Times New Roman" w:hAnsi="Times New Roman" w:cs="Times New Roman"/>
              </w:rPr>
            </w:pPr>
            <w:r>
              <w:rPr>
                <w:rFonts w:ascii="Times New Roman" w:eastAsia="Times New Roman" w:hAnsi="Times New Roman" w:cs="Times New Roman"/>
                <w:b/>
              </w:rPr>
              <w:t>Organization of the Unit - College of Education</w:t>
            </w:r>
          </w:p>
          <w:p w:rsidR="00E53683" w:rsidRDefault="002974EE">
            <w:pPr>
              <w:rPr>
                <w:rFonts w:ascii="Times New Roman" w:eastAsia="Times New Roman" w:hAnsi="Times New Roman" w:cs="Times New Roman"/>
              </w:rPr>
            </w:pPr>
            <w:r>
              <w:rPr>
                <w:rFonts w:ascii="Times New Roman" w:eastAsia="Times New Roman" w:hAnsi="Times New Roman" w:cs="Times New Roman"/>
              </w:rPr>
              <w:t>The College of Education (</w:t>
            </w:r>
            <w:proofErr w:type="spellStart"/>
            <w:r>
              <w:rPr>
                <w:rFonts w:ascii="Times New Roman" w:eastAsia="Times New Roman" w:hAnsi="Times New Roman" w:cs="Times New Roman"/>
              </w:rPr>
              <w:t>CoE</w:t>
            </w:r>
            <w:proofErr w:type="spellEnd"/>
            <w:r>
              <w:rPr>
                <w:rFonts w:ascii="Times New Roman" w:eastAsia="Times New Roman" w:hAnsi="Times New Roman" w:cs="Times New Roman"/>
              </w:rPr>
              <w:t>) consists of the dean’s office, chair, the Educational Assessment Manager/Placement &amp; Licensure Coordinator, program advisors, program</w:t>
            </w:r>
            <w:r>
              <w:rPr>
                <w:rFonts w:ascii="Times New Roman" w:eastAsia="Times New Roman" w:hAnsi="Times New Roman" w:cs="Times New Roman"/>
              </w:rPr>
              <w:t xml:space="preserve"> coordinators, and faculty.</w:t>
            </w:r>
          </w:p>
          <w:p w:rsidR="00E53683" w:rsidRDefault="00E53683">
            <w:pPr>
              <w:rPr>
                <w:rFonts w:ascii="Times New Roman" w:eastAsia="Times New Roman" w:hAnsi="Times New Roman" w:cs="Times New Roman"/>
              </w:rPr>
            </w:pPr>
          </w:p>
          <w:p w:rsidR="00E53683" w:rsidRDefault="002974EE">
            <w:pPr>
              <w:rPr>
                <w:rFonts w:ascii="Times New Roman" w:eastAsia="Times New Roman" w:hAnsi="Times New Roman" w:cs="Times New Roman"/>
              </w:rPr>
            </w:pPr>
            <w:r>
              <w:rPr>
                <w:rFonts w:ascii="Times New Roman" w:eastAsia="Times New Roman" w:hAnsi="Times New Roman" w:cs="Times New Roman"/>
                <w:i/>
              </w:rPr>
              <w:t>On-Site Locations </w:t>
            </w:r>
          </w:p>
          <w:p w:rsidR="00E53683" w:rsidRDefault="002974EE">
            <w:pPr>
              <w:rPr>
                <w:rFonts w:ascii="Times New Roman" w:eastAsia="Times New Roman" w:hAnsi="Times New Roman" w:cs="Times New Roman"/>
              </w:rPr>
            </w:pPr>
            <w:r>
              <w:rPr>
                <w:rFonts w:ascii="Times New Roman" w:eastAsia="Times New Roman" w:hAnsi="Times New Roman" w:cs="Times New Roman"/>
              </w:rPr>
              <w:t xml:space="preserve">In addition to the EOU La Grande campus, the </w:t>
            </w:r>
            <w:proofErr w:type="spellStart"/>
            <w:r>
              <w:rPr>
                <w:rFonts w:ascii="Times New Roman" w:eastAsia="Times New Roman" w:hAnsi="Times New Roman" w:cs="Times New Roman"/>
              </w:rPr>
              <w:t>CoE</w:t>
            </w:r>
            <w:proofErr w:type="spellEnd"/>
            <w:r>
              <w:rPr>
                <w:rFonts w:ascii="Times New Roman" w:eastAsia="Times New Roman" w:hAnsi="Times New Roman" w:cs="Times New Roman"/>
              </w:rPr>
              <w:t xml:space="preserve"> offers the undergraduate initial teacher preparation program onsite at the following locations:</w:t>
            </w:r>
          </w:p>
          <w:p w:rsidR="00E53683" w:rsidRDefault="002974EE">
            <w:pPr>
              <w:numPr>
                <w:ilvl w:val="0"/>
                <w:numId w:val="1"/>
              </w:numPr>
              <w:rPr>
                <w:rFonts w:ascii="Times New Roman" w:eastAsia="Times New Roman" w:hAnsi="Times New Roman" w:cs="Times New Roman"/>
              </w:rPr>
            </w:pPr>
            <w:r>
              <w:rPr>
                <w:rFonts w:ascii="Times New Roman" w:eastAsia="Times New Roman" w:hAnsi="Times New Roman" w:cs="Times New Roman"/>
              </w:rPr>
              <w:t>Gresham - Mt. Hood Community College</w:t>
            </w:r>
          </w:p>
          <w:p w:rsidR="00E53683" w:rsidRDefault="002974EE">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Ontario - Treasure Valley </w:t>
            </w:r>
            <w:r>
              <w:rPr>
                <w:rFonts w:ascii="Times New Roman" w:eastAsia="Times New Roman" w:hAnsi="Times New Roman" w:cs="Times New Roman"/>
              </w:rPr>
              <w:t>Community College</w:t>
            </w:r>
          </w:p>
          <w:p w:rsidR="00E53683" w:rsidRDefault="002974EE">
            <w:pPr>
              <w:numPr>
                <w:ilvl w:val="0"/>
                <w:numId w:val="1"/>
              </w:numPr>
              <w:rPr>
                <w:rFonts w:ascii="Times New Roman" w:eastAsia="Times New Roman" w:hAnsi="Times New Roman" w:cs="Times New Roman"/>
              </w:rPr>
            </w:pPr>
            <w:r>
              <w:rPr>
                <w:rFonts w:ascii="Times New Roman" w:eastAsia="Times New Roman" w:hAnsi="Times New Roman" w:cs="Times New Roman"/>
              </w:rPr>
              <w:t>Pendleton - Inter-Mountain Education Service District</w:t>
            </w:r>
          </w:p>
          <w:p w:rsidR="00E53683" w:rsidRDefault="00E53683">
            <w:pPr>
              <w:rPr>
                <w:rFonts w:ascii="Times New Roman" w:eastAsia="Times New Roman" w:hAnsi="Times New Roman" w:cs="Times New Roman"/>
              </w:rPr>
            </w:pPr>
          </w:p>
          <w:p w:rsidR="00E53683" w:rsidRDefault="002974EE">
            <w:pPr>
              <w:rPr>
                <w:rFonts w:ascii="Times New Roman" w:eastAsia="Times New Roman" w:hAnsi="Times New Roman" w:cs="Times New Roman"/>
              </w:rPr>
            </w:pPr>
            <w:r>
              <w:rPr>
                <w:rFonts w:ascii="Times New Roman" w:eastAsia="Times New Roman" w:hAnsi="Times New Roman" w:cs="Times New Roman"/>
                <w:b/>
              </w:rPr>
              <w:t>Organization of Initial Teacher Preparation Programs</w:t>
            </w:r>
            <w:r>
              <w:rPr>
                <w:rFonts w:ascii="Times New Roman" w:eastAsia="Times New Roman" w:hAnsi="Times New Roman" w:cs="Times New Roman"/>
              </w:rPr>
              <w:t> </w:t>
            </w:r>
          </w:p>
          <w:p w:rsidR="00E53683" w:rsidRDefault="002974EE">
            <w:pPr>
              <w:rPr>
                <w:rFonts w:ascii="Times New Roman" w:eastAsia="Times New Roman" w:hAnsi="Times New Roman" w:cs="Times New Roman"/>
              </w:rPr>
            </w:pPr>
            <w:r>
              <w:rPr>
                <w:rFonts w:ascii="Times New Roman" w:eastAsia="Times New Roman" w:hAnsi="Times New Roman" w:cs="Times New Roman"/>
              </w:rPr>
              <w:t>The College of Education (</w:t>
            </w:r>
            <w:proofErr w:type="spellStart"/>
            <w:r>
              <w:rPr>
                <w:rFonts w:ascii="Times New Roman" w:eastAsia="Times New Roman" w:hAnsi="Times New Roman" w:cs="Times New Roman"/>
              </w:rPr>
              <w:t>CoE</w:t>
            </w:r>
            <w:proofErr w:type="spellEnd"/>
            <w:r>
              <w:rPr>
                <w:rFonts w:ascii="Times New Roman" w:eastAsia="Times New Roman" w:hAnsi="Times New Roman" w:cs="Times New Roman"/>
              </w:rPr>
              <w:t>) offers initial teacher preparation programs (undergraduate and graduate), add-on programs (graduat</w:t>
            </w:r>
            <w:r>
              <w:rPr>
                <w:rFonts w:ascii="Times New Roman" w:eastAsia="Times New Roman" w:hAnsi="Times New Roman" w:cs="Times New Roman"/>
              </w:rPr>
              <w:t>e or endorsement only), and additional programs.</w:t>
            </w:r>
          </w:p>
          <w:p w:rsidR="00E53683" w:rsidRDefault="00E53683">
            <w:pPr>
              <w:rPr>
                <w:rFonts w:ascii="Times New Roman" w:eastAsia="Times New Roman" w:hAnsi="Times New Roman" w:cs="Times New Roman"/>
              </w:rPr>
            </w:pPr>
          </w:p>
          <w:p w:rsidR="00E53683" w:rsidRDefault="002974EE">
            <w:pPr>
              <w:ind w:firstLine="720"/>
              <w:rPr>
                <w:rFonts w:ascii="Times New Roman" w:eastAsia="Times New Roman" w:hAnsi="Times New Roman" w:cs="Times New Roman"/>
              </w:rPr>
            </w:pPr>
            <w:r>
              <w:rPr>
                <w:rFonts w:ascii="Times New Roman" w:eastAsia="Times New Roman" w:hAnsi="Times New Roman" w:cs="Times New Roman"/>
                <w:u w:val="single"/>
              </w:rPr>
              <w:t>Initial Licensure Programs:</w:t>
            </w:r>
          </w:p>
          <w:p w:rsidR="00E53683" w:rsidRDefault="002974EE">
            <w:pPr>
              <w:numPr>
                <w:ilvl w:val="0"/>
                <w:numId w:val="2"/>
              </w:numPr>
              <w:ind w:left="1440"/>
              <w:rPr>
                <w:rFonts w:ascii="Times New Roman" w:eastAsia="Times New Roman" w:hAnsi="Times New Roman" w:cs="Times New Roman"/>
              </w:rPr>
            </w:pPr>
            <w:r>
              <w:rPr>
                <w:rFonts w:ascii="Times New Roman" w:eastAsia="Times New Roman" w:hAnsi="Times New Roman" w:cs="Times New Roman"/>
              </w:rPr>
              <w:t>Undergraduate Elementary Education with ESOL Endorsement</w:t>
            </w:r>
          </w:p>
          <w:p w:rsidR="00E53683" w:rsidRDefault="002974EE">
            <w:pPr>
              <w:numPr>
                <w:ilvl w:val="0"/>
                <w:numId w:val="2"/>
              </w:numPr>
              <w:ind w:left="1440"/>
              <w:rPr>
                <w:rFonts w:ascii="Times New Roman" w:eastAsia="Times New Roman" w:hAnsi="Times New Roman" w:cs="Times New Roman"/>
              </w:rPr>
            </w:pPr>
            <w:r>
              <w:rPr>
                <w:rFonts w:ascii="Times New Roman" w:eastAsia="Times New Roman" w:hAnsi="Times New Roman" w:cs="Times New Roman"/>
              </w:rPr>
              <w:t>Masters of Arts in Teaching:</w:t>
            </w:r>
          </w:p>
          <w:p w:rsidR="00E53683" w:rsidRDefault="002974EE">
            <w:pPr>
              <w:numPr>
                <w:ilvl w:val="1"/>
                <w:numId w:val="2"/>
              </w:numPr>
              <w:ind w:left="2160"/>
              <w:rPr>
                <w:rFonts w:ascii="Times New Roman" w:eastAsia="Times New Roman" w:hAnsi="Times New Roman" w:cs="Times New Roman"/>
              </w:rPr>
            </w:pPr>
            <w:r>
              <w:rPr>
                <w:rFonts w:ascii="Times New Roman" w:eastAsia="Times New Roman" w:hAnsi="Times New Roman" w:cs="Times New Roman"/>
              </w:rPr>
              <w:t>Elementary Education</w:t>
            </w:r>
          </w:p>
          <w:p w:rsidR="00E53683" w:rsidRDefault="002974EE">
            <w:pPr>
              <w:numPr>
                <w:ilvl w:val="1"/>
                <w:numId w:val="2"/>
              </w:numPr>
              <w:ind w:left="2160"/>
              <w:rPr>
                <w:rFonts w:ascii="Times New Roman" w:eastAsia="Times New Roman" w:hAnsi="Times New Roman" w:cs="Times New Roman"/>
              </w:rPr>
            </w:pPr>
            <w:r>
              <w:rPr>
                <w:rFonts w:ascii="Times New Roman" w:eastAsia="Times New Roman" w:hAnsi="Times New Roman" w:cs="Times New Roman"/>
              </w:rPr>
              <w:t>Secondary Education - Single Subjects</w:t>
            </w:r>
          </w:p>
          <w:p w:rsidR="00E53683" w:rsidRDefault="002974EE">
            <w:pPr>
              <w:numPr>
                <w:ilvl w:val="2"/>
                <w:numId w:val="2"/>
              </w:numPr>
              <w:ind w:left="2880"/>
              <w:rPr>
                <w:rFonts w:ascii="Times New Roman" w:eastAsia="Times New Roman" w:hAnsi="Times New Roman" w:cs="Times New Roman"/>
              </w:rPr>
            </w:pPr>
            <w:r>
              <w:rPr>
                <w:rFonts w:ascii="Times New Roman" w:eastAsia="Times New Roman" w:hAnsi="Times New Roman" w:cs="Times New Roman"/>
              </w:rPr>
              <w:t>Advanced Mathematics (includes Foundational Math)</w:t>
            </w:r>
          </w:p>
          <w:p w:rsidR="00E53683" w:rsidRDefault="002974EE">
            <w:pPr>
              <w:numPr>
                <w:ilvl w:val="2"/>
                <w:numId w:val="2"/>
              </w:numPr>
              <w:ind w:left="2880"/>
              <w:rPr>
                <w:rFonts w:ascii="Times New Roman" w:eastAsia="Times New Roman" w:hAnsi="Times New Roman" w:cs="Times New Roman"/>
              </w:rPr>
            </w:pPr>
            <w:r>
              <w:rPr>
                <w:rFonts w:ascii="Times New Roman" w:eastAsia="Times New Roman" w:hAnsi="Times New Roman" w:cs="Times New Roman"/>
              </w:rPr>
              <w:t>Agricultural Science</w:t>
            </w:r>
          </w:p>
          <w:p w:rsidR="00E53683" w:rsidRDefault="002974EE">
            <w:pPr>
              <w:numPr>
                <w:ilvl w:val="2"/>
                <w:numId w:val="2"/>
              </w:numPr>
              <w:ind w:left="2880"/>
              <w:rPr>
                <w:rFonts w:ascii="Times New Roman" w:eastAsia="Times New Roman" w:hAnsi="Times New Roman" w:cs="Times New Roman"/>
              </w:rPr>
            </w:pPr>
            <w:r>
              <w:rPr>
                <w:rFonts w:ascii="Times New Roman" w:eastAsia="Times New Roman" w:hAnsi="Times New Roman" w:cs="Times New Roman"/>
              </w:rPr>
              <w:lastRenderedPageBreak/>
              <w:t>Biology</w:t>
            </w:r>
          </w:p>
          <w:p w:rsidR="00E53683" w:rsidRDefault="002974EE">
            <w:pPr>
              <w:numPr>
                <w:ilvl w:val="2"/>
                <w:numId w:val="2"/>
              </w:numPr>
              <w:ind w:left="2880"/>
              <w:rPr>
                <w:rFonts w:ascii="Times New Roman" w:eastAsia="Times New Roman" w:hAnsi="Times New Roman" w:cs="Times New Roman"/>
              </w:rPr>
            </w:pPr>
            <w:r>
              <w:rPr>
                <w:rFonts w:ascii="Times New Roman" w:eastAsia="Times New Roman" w:hAnsi="Times New Roman" w:cs="Times New Roman"/>
              </w:rPr>
              <w:t>Business: Generalist</w:t>
            </w:r>
          </w:p>
          <w:p w:rsidR="00E53683" w:rsidRDefault="002974EE">
            <w:pPr>
              <w:numPr>
                <w:ilvl w:val="2"/>
                <w:numId w:val="2"/>
              </w:numPr>
              <w:ind w:left="2880"/>
              <w:rPr>
                <w:rFonts w:ascii="Times New Roman" w:eastAsia="Times New Roman" w:hAnsi="Times New Roman" w:cs="Times New Roman"/>
              </w:rPr>
            </w:pPr>
            <w:r>
              <w:rPr>
                <w:rFonts w:ascii="Times New Roman" w:eastAsia="Times New Roman" w:hAnsi="Times New Roman" w:cs="Times New Roman"/>
              </w:rPr>
              <w:t>Chemistry</w:t>
            </w:r>
          </w:p>
          <w:p w:rsidR="00E53683" w:rsidRDefault="002974EE">
            <w:pPr>
              <w:numPr>
                <w:ilvl w:val="2"/>
                <w:numId w:val="2"/>
              </w:numPr>
              <w:ind w:left="2880"/>
              <w:rPr>
                <w:rFonts w:ascii="Times New Roman" w:eastAsia="Times New Roman" w:hAnsi="Times New Roman" w:cs="Times New Roman"/>
              </w:rPr>
            </w:pPr>
            <w:r>
              <w:rPr>
                <w:rFonts w:ascii="Times New Roman" w:eastAsia="Times New Roman" w:hAnsi="Times New Roman" w:cs="Times New Roman"/>
              </w:rPr>
              <w:t>English Language Arts (includes Foundational ELA)</w:t>
            </w:r>
          </w:p>
          <w:p w:rsidR="00E53683" w:rsidRDefault="002974EE">
            <w:pPr>
              <w:numPr>
                <w:ilvl w:val="2"/>
                <w:numId w:val="2"/>
              </w:numPr>
              <w:ind w:left="2880"/>
              <w:rPr>
                <w:rFonts w:ascii="Times New Roman" w:eastAsia="Times New Roman" w:hAnsi="Times New Roman" w:cs="Times New Roman"/>
              </w:rPr>
            </w:pPr>
            <w:r>
              <w:rPr>
                <w:rFonts w:ascii="Times New Roman" w:eastAsia="Times New Roman" w:hAnsi="Times New Roman" w:cs="Times New Roman"/>
              </w:rPr>
              <w:t>Health</w:t>
            </w:r>
          </w:p>
          <w:p w:rsidR="00E53683" w:rsidRDefault="002974EE">
            <w:pPr>
              <w:numPr>
                <w:ilvl w:val="2"/>
                <w:numId w:val="2"/>
              </w:numPr>
              <w:ind w:left="2880"/>
              <w:rPr>
                <w:rFonts w:ascii="Times New Roman" w:eastAsia="Times New Roman" w:hAnsi="Times New Roman" w:cs="Times New Roman"/>
              </w:rPr>
            </w:pPr>
            <w:r>
              <w:rPr>
                <w:rFonts w:ascii="Times New Roman" w:eastAsia="Times New Roman" w:hAnsi="Times New Roman" w:cs="Times New Roman"/>
              </w:rPr>
              <w:t>Integrated Science (includes Foundational Science)</w:t>
            </w:r>
          </w:p>
          <w:p w:rsidR="00E53683" w:rsidRDefault="002974EE">
            <w:pPr>
              <w:numPr>
                <w:ilvl w:val="2"/>
                <w:numId w:val="2"/>
              </w:numPr>
              <w:ind w:left="2880"/>
              <w:rPr>
                <w:rFonts w:ascii="Times New Roman" w:eastAsia="Times New Roman" w:hAnsi="Times New Roman" w:cs="Times New Roman"/>
              </w:rPr>
            </w:pPr>
            <w:r>
              <w:rPr>
                <w:rFonts w:ascii="Times New Roman" w:eastAsia="Times New Roman" w:hAnsi="Times New Roman" w:cs="Times New Roman"/>
              </w:rPr>
              <w:t>Physics</w:t>
            </w:r>
          </w:p>
          <w:p w:rsidR="00E53683" w:rsidRDefault="002974EE">
            <w:pPr>
              <w:numPr>
                <w:ilvl w:val="2"/>
                <w:numId w:val="2"/>
              </w:numPr>
              <w:ind w:left="2880"/>
              <w:rPr>
                <w:rFonts w:ascii="Times New Roman" w:eastAsia="Times New Roman" w:hAnsi="Times New Roman" w:cs="Times New Roman"/>
              </w:rPr>
            </w:pPr>
            <w:r>
              <w:rPr>
                <w:rFonts w:ascii="Times New Roman" w:eastAsia="Times New Roman" w:hAnsi="Times New Roman" w:cs="Times New Roman"/>
              </w:rPr>
              <w:t>Social Studies (includes Foundational Social Studies)</w:t>
            </w:r>
          </w:p>
          <w:p w:rsidR="00E53683" w:rsidRDefault="002974EE">
            <w:pPr>
              <w:numPr>
                <w:ilvl w:val="2"/>
                <w:numId w:val="2"/>
              </w:numPr>
              <w:ind w:left="2880"/>
              <w:rPr>
                <w:rFonts w:ascii="Times New Roman" w:eastAsia="Times New Roman" w:hAnsi="Times New Roman" w:cs="Times New Roman"/>
              </w:rPr>
            </w:pPr>
            <w:r>
              <w:rPr>
                <w:rFonts w:ascii="Times New Roman" w:eastAsia="Times New Roman" w:hAnsi="Times New Roman" w:cs="Times New Roman"/>
              </w:rPr>
              <w:t>World Languages (German; Spanish)</w:t>
            </w:r>
          </w:p>
          <w:p w:rsidR="00E53683" w:rsidRDefault="002974EE">
            <w:pPr>
              <w:numPr>
                <w:ilvl w:val="1"/>
                <w:numId w:val="2"/>
              </w:numPr>
              <w:ind w:left="2160"/>
              <w:rPr>
                <w:rFonts w:ascii="Times New Roman" w:eastAsia="Times New Roman" w:hAnsi="Times New Roman" w:cs="Times New Roman"/>
              </w:rPr>
            </w:pPr>
            <w:r>
              <w:rPr>
                <w:rFonts w:ascii="Times New Roman" w:eastAsia="Times New Roman" w:hAnsi="Times New Roman" w:cs="Times New Roman"/>
              </w:rPr>
              <w:t>Secondary Education - Program Required Areas as determined by Oregon Teacher Standards and Practices Commission</w:t>
            </w:r>
          </w:p>
          <w:p w:rsidR="00E53683" w:rsidRDefault="002974EE">
            <w:pPr>
              <w:numPr>
                <w:ilvl w:val="2"/>
                <w:numId w:val="2"/>
              </w:numPr>
              <w:ind w:left="2880"/>
              <w:rPr>
                <w:rFonts w:ascii="Times New Roman" w:eastAsia="Times New Roman" w:hAnsi="Times New Roman" w:cs="Times New Roman"/>
              </w:rPr>
            </w:pPr>
            <w:r>
              <w:rPr>
                <w:rFonts w:ascii="Times New Roman" w:eastAsia="Times New Roman" w:hAnsi="Times New Roman" w:cs="Times New Roman"/>
              </w:rPr>
              <w:t>Art</w:t>
            </w:r>
          </w:p>
          <w:p w:rsidR="00E53683" w:rsidRDefault="002974EE">
            <w:pPr>
              <w:numPr>
                <w:ilvl w:val="2"/>
                <w:numId w:val="2"/>
              </w:numPr>
              <w:ind w:left="2880"/>
              <w:rPr>
                <w:rFonts w:ascii="Times New Roman" w:eastAsia="Times New Roman" w:hAnsi="Times New Roman" w:cs="Times New Roman"/>
              </w:rPr>
            </w:pPr>
            <w:r>
              <w:rPr>
                <w:rFonts w:ascii="Times New Roman" w:eastAsia="Times New Roman" w:hAnsi="Times New Roman" w:cs="Times New Roman"/>
              </w:rPr>
              <w:t>Music</w:t>
            </w:r>
          </w:p>
          <w:p w:rsidR="00E53683" w:rsidRDefault="002974EE">
            <w:pPr>
              <w:numPr>
                <w:ilvl w:val="2"/>
                <w:numId w:val="2"/>
              </w:numPr>
              <w:spacing w:after="320"/>
              <w:ind w:left="2880"/>
              <w:rPr>
                <w:rFonts w:ascii="Times New Roman" w:eastAsia="Times New Roman" w:hAnsi="Times New Roman" w:cs="Times New Roman"/>
              </w:rPr>
            </w:pPr>
            <w:r>
              <w:rPr>
                <w:rFonts w:ascii="Times New Roman" w:eastAsia="Times New Roman" w:hAnsi="Times New Roman" w:cs="Times New Roman"/>
              </w:rPr>
              <w:t>Physical Education</w:t>
            </w:r>
          </w:p>
          <w:p w:rsidR="00E53683" w:rsidRDefault="002974EE">
            <w:pPr>
              <w:ind w:left="720"/>
              <w:rPr>
                <w:rFonts w:ascii="Times New Roman" w:eastAsia="Times New Roman" w:hAnsi="Times New Roman" w:cs="Times New Roman"/>
              </w:rPr>
            </w:pPr>
            <w:r>
              <w:rPr>
                <w:rFonts w:ascii="Times New Roman" w:eastAsia="Times New Roman" w:hAnsi="Times New Roman" w:cs="Times New Roman"/>
                <w:u w:val="single"/>
              </w:rPr>
              <w:t xml:space="preserve">Add </w:t>
            </w:r>
            <w:proofErr w:type="gramStart"/>
            <w:r>
              <w:rPr>
                <w:rFonts w:ascii="Times New Roman" w:eastAsia="Times New Roman" w:hAnsi="Times New Roman" w:cs="Times New Roman"/>
                <w:u w:val="single"/>
              </w:rPr>
              <w:t>On</w:t>
            </w:r>
            <w:proofErr w:type="gramEnd"/>
            <w:r>
              <w:rPr>
                <w:rFonts w:ascii="Times New Roman" w:eastAsia="Times New Roman" w:hAnsi="Times New Roman" w:cs="Times New Roman"/>
                <w:u w:val="single"/>
              </w:rPr>
              <w:t xml:space="preserve"> Programs: </w:t>
            </w:r>
          </w:p>
          <w:p w:rsidR="00E53683" w:rsidRDefault="002974EE">
            <w:pPr>
              <w:ind w:left="1440"/>
              <w:rPr>
                <w:rFonts w:ascii="Times New Roman" w:eastAsia="Times New Roman" w:hAnsi="Times New Roman" w:cs="Times New Roman"/>
              </w:rPr>
            </w:pPr>
            <w:r>
              <w:rPr>
                <w:rFonts w:ascii="Times New Roman" w:eastAsia="Times New Roman" w:hAnsi="Times New Roman" w:cs="Times New Roman"/>
              </w:rPr>
              <w:t>The follo</w:t>
            </w:r>
            <w:r>
              <w:rPr>
                <w:rFonts w:ascii="Times New Roman" w:eastAsia="Times New Roman" w:hAnsi="Times New Roman" w:cs="Times New Roman"/>
              </w:rPr>
              <w:t>wing add on programs require the candidate to already hold a valid teaching license and are seeking to add an additional teaching field to their license:</w:t>
            </w:r>
          </w:p>
          <w:p w:rsidR="00E53683" w:rsidRDefault="002974EE">
            <w:pPr>
              <w:numPr>
                <w:ilvl w:val="0"/>
                <w:numId w:val="3"/>
              </w:numPr>
              <w:ind w:left="1440"/>
              <w:rPr>
                <w:rFonts w:ascii="Times New Roman" w:eastAsia="Times New Roman" w:hAnsi="Times New Roman" w:cs="Times New Roman"/>
              </w:rPr>
            </w:pPr>
            <w:r>
              <w:rPr>
                <w:rFonts w:ascii="Times New Roman" w:eastAsia="Times New Roman" w:hAnsi="Times New Roman" w:cs="Times New Roman"/>
              </w:rPr>
              <w:t>English for Speakers of Other Languages</w:t>
            </w:r>
          </w:p>
          <w:p w:rsidR="00E53683" w:rsidRDefault="002974EE">
            <w:pPr>
              <w:numPr>
                <w:ilvl w:val="0"/>
                <w:numId w:val="3"/>
              </w:numPr>
              <w:ind w:left="1440"/>
              <w:rPr>
                <w:rFonts w:ascii="Times New Roman" w:eastAsia="Times New Roman" w:hAnsi="Times New Roman" w:cs="Times New Roman"/>
              </w:rPr>
            </w:pPr>
            <w:r>
              <w:rPr>
                <w:rFonts w:ascii="Times New Roman" w:eastAsia="Times New Roman" w:hAnsi="Times New Roman" w:cs="Times New Roman"/>
              </w:rPr>
              <w:t>Reading Intervention </w:t>
            </w:r>
          </w:p>
          <w:p w:rsidR="00E53683" w:rsidRDefault="002974EE">
            <w:pPr>
              <w:numPr>
                <w:ilvl w:val="0"/>
                <w:numId w:val="3"/>
              </w:numPr>
              <w:ind w:left="1440"/>
              <w:rPr>
                <w:rFonts w:ascii="Times New Roman" w:eastAsia="Times New Roman" w:hAnsi="Times New Roman" w:cs="Times New Roman"/>
              </w:rPr>
            </w:pPr>
            <w:r>
              <w:rPr>
                <w:rFonts w:ascii="Times New Roman" w:eastAsia="Times New Roman" w:hAnsi="Times New Roman" w:cs="Times New Roman"/>
              </w:rPr>
              <w:t>Special Education: Generalist </w:t>
            </w:r>
          </w:p>
          <w:p w:rsidR="00E53683" w:rsidRDefault="00E53683">
            <w:pPr>
              <w:rPr>
                <w:rFonts w:ascii="Times New Roman" w:eastAsia="Times New Roman" w:hAnsi="Times New Roman" w:cs="Times New Roman"/>
              </w:rPr>
            </w:pPr>
          </w:p>
          <w:p w:rsidR="00E53683" w:rsidRDefault="002974EE">
            <w:pPr>
              <w:ind w:firstLine="720"/>
              <w:rPr>
                <w:rFonts w:ascii="Times New Roman" w:eastAsia="Times New Roman" w:hAnsi="Times New Roman" w:cs="Times New Roman"/>
              </w:rPr>
            </w:pPr>
            <w:r>
              <w:rPr>
                <w:rFonts w:ascii="Times New Roman" w:eastAsia="Times New Roman" w:hAnsi="Times New Roman" w:cs="Times New Roman"/>
                <w:u w:val="single"/>
              </w:rPr>
              <w:t>Other Programs:</w:t>
            </w:r>
            <w:r>
              <w:rPr>
                <w:rFonts w:ascii="Times New Roman" w:eastAsia="Times New Roman" w:hAnsi="Times New Roman" w:cs="Times New Roman"/>
              </w:rPr>
              <w:t> </w:t>
            </w:r>
          </w:p>
          <w:p w:rsidR="00E53683" w:rsidRDefault="002974EE">
            <w:pPr>
              <w:numPr>
                <w:ilvl w:val="0"/>
                <w:numId w:val="4"/>
              </w:numPr>
              <w:ind w:left="1440"/>
              <w:rPr>
                <w:rFonts w:ascii="Times New Roman" w:eastAsia="Times New Roman" w:hAnsi="Times New Roman" w:cs="Times New Roman"/>
              </w:rPr>
            </w:pPr>
            <w:r>
              <w:rPr>
                <w:rFonts w:ascii="Times New Roman" w:eastAsia="Times New Roman" w:hAnsi="Times New Roman" w:cs="Times New Roman"/>
              </w:rPr>
              <w:t>Early Childhood Education - Non-Licensure</w:t>
            </w:r>
          </w:p>
          <w:p w:rsidR="00E53683" w:rsidRDefault="002974EE">
            <w:pPr>
              <w:numPr>
                <w:ilvl w:val="0"/>
                <w:numId w:val="4"/>
              </w:numPr>
              <w:ind w:left="1440"/>
              <w:rPr>
                <w:rFonts w:ascii="Times New Roman" w:eastAsia="Times New Roman" w:hAnsi="Times New Roman" w:cs="Times New Roman"/>
              </w:rPr>
            </w:pPr>
            <w:r>
              <w:rPr>
                <w:rFonts w:ascii="Times New Roman" w:eastAsia="Times New Roman" w:hAnsi="Times New Roman" w:cs="Times New Roman"/>
              </w:rPr>
              <w:t>Master of Science (MS)</w:t>
            </w:r>
          </w:p>
          <w:p w:rsidR="00E53683" w:rsidRDefault="002974EE">
            <w:pPr>
              <w:numPr>
                <w:ilvl w:val="0"/>
                <w:numId w:val="4"/>
              </w:numPr>
              <w:ind w:left="1440"/>
              <w:rPr>
                <w:rFonts w:ascii="Times New Roman" w:eastAsia="Times New Roman" w:hAnsi="Times New Roman" w:cs="Times New Roman"/>
              </w:rPr>
            </w:pPr>
            <w:r>
              <w:rPr>
                <w:rFonts w:ascii="Times New Roman" w:eastAsia="Times New Roman" w:hAnsi="Times New Roman" w:cs="Times New Roman"/>
              </w:rPr>
              <w:t>Career and Technical Education (CTE)</w:t>
            </w:r>
          </w:p>
          <w:p w:rsidR="00E53683" w:rsidRDefault="002974EE">
            <w:pPr>
              <w:numPr>
                <w:ilvl w:val="0"/>
                <w:numId w:val="4"/>
              </w:numPr>
              <w:ind w:left="1440"/>
              <w:rPr>
                <w:rFonts w:ascii="Times New Roman" w:eastAsia="Times New Roman" w:hAnsi="Times New Roman" w:cs="Times New Roman"/>
              </w:rPr>
            </w:pPr>
            <w:r>
              <w:rPr>
                <w:rFonts w:ascii="Times New Roman" w:eastAsia="Times New Roman" w:hAnsi="Times New Roman" w:cs="Times New Roman"/>
              </w:rPr>
              <w:t>Certificate and Associate of Arts (AA) in Education</w:t>
            </w:r>
          </w:p>
          <w:p w:rsidR="00E53683" w:rsidRDefault="002974EE">
            <w:pPr>
              <w:numPr>
                <w:ilvl w:val="0"/>
                <w:numId w:val="4"/>
              </w:numPr>
              <w:ind w:left="1440"/>
              <w:rPr>
                <w:rFonts w:ascii="Times New Roman" w:eastAsia="Times New Roman" w:hAnsi="Times New Roman" w:cs="Times New Roman"/>
              </w:rPr>
            </w:pPr>
            <w:r>
              <w:rPr>
                <w:rFonts w:ascii="Times New Roman" w:eastAsia="Times New Roman" w:hAnsi="Times New Roman" w:cs="Times New Roman"/>
              </w:rPr>
              <w:t xml:space="preserve">ESOL Certificate </w:t>
            </w:r>
          </w:p>
          <w:p w:rsidR="00E53683" w:rsidRDefault="00E53683">
            <w:pPr>
              <w:rPr>
                <w:rFonts w:ascii="Times New Roman" w:eastAsia="Times New Roman" w:hAnsi="Times New Roman" w:cs="Times New Roman"/>
              </w:rPr>
            </w:pPr>
          </w:p>
          <w:p w:rsidR="00E53683" w:rsidRDefault="002974EE">
            <w:pPr>
              <w:rPr>
                <w:rFonts w:ascii="Times New Roman" w:eastAsia="Times New Roman" w:hAnsi="Times New Roman" w:cs="Times New Roman"/>
              </w:rPr>
            </w:pPr>
            <w:r>
              <w:rPr>
                <w:rFonts w:ascii="Times New Roman" w:eastAsia="Times New Roman" w:hAnsi="Times New Roman" w:cs="Times New Roman"/>
                <w:b/>
              </w:rPr>
              <w:t>Program Design: </w:t>
            </w:r>
          </w:p>
          <w:p w:rsidR="00E53683" w:rsidRDefault="002974EE">
            <w:pPr>
              <w:rPr>
                <w:rFonts w:ascii="Times New Roman" w:eastAsia="Times New Roman" w:hAnsi="Times New Roman" w:cs="Times New Roman"/>
              </w:rPr>
            </w:pPr>
            <w:r>
              <w:rPr>
                <w:rFonts w:ascii="Times New Roman" w:eastAsia="Times New Roman" w:hAnsi="Times New Roman" w:cs="Times New Roman"/>
                <w:b/>
                <w:i/>
              </w:rPr>
              <w:t>Undergraduate Initial Teacher Preparation:</w:t>
            </w:r>
          </w:p>
          <w:p w:rsidR="00E53683" w:rsidRDefault="002974EE">
            <w:pPr>
              <w:rPr>
                <w:rFonts w:ascii="Times New Roman" w:eastAsia="Times New Roman" w:hAnsi="Times New Roman" w:cs="Times New Roman"/>
              </w:rPr>
            </w:pPr>
            <w:r>
              <w:rPr>
                <w:rFonts w:ascii="Times New Roman" w:eastAsia="Times New Roman" w:hAnsi="Times New Roman" w:cs="Times New Roman"/>
              </w:rPr>
              <w:t>The un</w:t>
            </w:r>
            <w:r>
              <w:rPr>
                <w:rFonts w:ascii="Times New Roman" w:eastAsia="Times New Roman" w:hAnsi="Times New Roman" w:cs="Times New Roman"/>
              </w:rPr>
              <w:t xml:space="preserve">dergraduate dual program in elementary-multiple subjects and ESOL at Eastern Oregon University is a </w:t>
            </w:r>
            <w:proofErr w:type="gramStart"/>
            <w:r>
              <w:rPr>
                <w:rFonts w:ascii="Times New Roman" w:eastAsia="Times New Roman" w:hAnsi="Times New Roman" w:cs="Times New Roman"/>
              </w:rPr>
              <w:t>two year</w:t>
            </w:r>
            <w:proofErr w:type="gramEnd"/>
            <w:r>
              <w:rPr>
                <w:rFonts w:ascii="Times New Roman" w:eastAsia="Times New Roman" w:hAnsi="Times New Roman" w:cs="Times New Roman"/>
              </w:rPr>
              <w:t xml:space="preserve"> cohort based program that builds upon a foundation of multidisciplinary coursework. All candidates complete an </w:t>
            </w:r>
            <w:hyperlink r:id="rId12">
              <w:r>
                <w:rPr>
                  <w:rFonts w:ascii="Times New Roman" w:eastAsia="Times New Roman" w:hAnsi="Times New Roman" w:cs="Times New Roman"/>
                  <w:color w:val="1155CC"/>
                  <w:u w:val="single"/>
                </w:rPr>
                <w:t xml:space="preserve">Elementary Education Degree </w:t>
              </w:r>
              <w:r>
                <w:rPr>
                  <w:rFonts w:ascii="Times New Roman" w:eastAsia="Times New Roman" w:hAnsi="Times New Roman" w:cs="Times New Roman"/>
                  <w:color w:val="1155CC"/>
                  <w:u w:val="single"/>
                </w:rPr>
                <w:lastRenderedPageBreak/>
                <w:t>with a concentration in ESOL</w:t>
              </w:r>
            </w:hyperlink>
            <w:r>
              <w:rPr>
                <w:rFonts w:ascii="Times New Roman" w:eastAsia="Times New Roman" w:hAnsi="Times New Roman" w:cs="Times New Roman"/>
              </w:rPr>
              <w:t xml:space="preserve">. Most candidates also complete a </w:t>
            </w:r>
            <w:hyperlink r:id="rId13">
              <w:r>
                <w:rPr>
                  <w:rFonts w:ascii="Times New Roman" w:eastAsia="Times New Roman" w:hAnsi="Times New Roman" w:cs="Times New Roman"/>
                  <w:color w:val="1155CC"/>
                  <w:u w:val="single"/>
                </w:rPr>
                <w:t>Multidisciplin</w:t>
              </w:r>
              <w:r>
                <w:rPr>
                  <w:rFonts w:ascii="Times New Roman" w:eastAsia="Times New Roman" w:hAnsi="Times New Roman" w:cs="Times New Roman"/>
                  <w:color w:val="1155CC"/>
                  <w:u w:val="single"/>
                </w:rPr>
                <w:t>ary Major</w:t>
              </w:r>
            </w:hyperlink>
            <w:r>
              <w:rPr>
                <w:rFonts w:ascii="Times New Roman" w:eastAsia="Times New Roman" w:hAnsi="Times New Roman" w:cs="Times New Roman"/>
              </w:rPr>
              <w:t xml:space="preserve">, unless they transfer in an AAOT degree and opt to complete the </w:t>
            </w:r>
            <w:hyperlink r:id="rId14">
              <w:r>
                <w:rPr>
                  <w:rFonts w:ascii="Times New Roman" w:eastAsia="Times New Roman" w:hAnsi="Times New Roman" w:cs="Times New Roman"/>
                  <w:color w:val="1155CC"/>
                  <w:u w:val="single"/>
                </w:rPr>
                <w:t>content area pathway</w:t>
              </w:r>
            </w:hyperlink>
            <w:r>
              <w:rPr>
                <w:rFonts w:ascii="Times New Roman" w:eastAsia="Times New Roman" w:hAnsi="Times New Roman" w:cs="Times New Roman"/>
              </w:rPr>
              <w:t xml:space="preserve"> in lieu of the Multidisciplinary Major. Candidates complete most, if not al</w:t>
            </w:r>
            <w:r>
              <w:rPr>
                <w:rFonts w:ascii="Times New Roman" w:eastAsia="Times New Roman" w:hAnsi="Times New Roman" w:cs="Times New Roman"/>
              </w:rPr>
              <w:t>l, of the multidisciplinary coursework prior to entering the two-year program. </w:t>
            </w:r>
          </w:p>
          <w:p w:rsidR="00E53683" w:rsidRDefault="00E53683">
            <w:pPr>
              <w:rPr>
                <w:rFonts w:ascii="Times New Roman" w:eastAsia="Times New Roman" w:hAnsi="Times New Roman" w:cs="Times New Roman"/>
              </w:rPr>
            </w:pPr>
          </w:p>
          <w:p w:rsidR="00E53683" w:rsidRDefault="002974EE">
            <w:pPr>
              <w:rPr>
                <w:rFonts w:ascii="Times New Roman" w:eastAsia="Times New Roman" w:hAnsi="Times New Roman" w:cs="Times New Roman"/>
              </w:rPr>
            </w:pPr>
            <w:r>
              <w:rPr>
                <w:rFonts w:ascii="Times New Roman" w:eastAsia="Times New Roman" w:hAnsi="Times New Roman" w:cs="Times New Roman"/>
              </w:rPr>
              <w:t>The full-time, intensive dual program blends classroom experience along with academic coursework every term. Throughout the hybrid program, coursework includes face to face an</w:t>
            </w:r>
            <w:r>
              <w:rPr>
                <w:rFonts w:ascii="Times New Roman" w:eastAsia="Times New Roman" w:hAnsi="Times New Roman" w:cs="Times New Roman"/>
              </w:rPr>
              <w:t xml:space="preserve">d online components. The program utilizes a combination of </w:t>
            </w:r>
            <w:hyperlink r:id="rId15">
              <w:r>
                <w:rPr>
                  <w:rFonts w:ascii="Times New Roman" w:eastAsia="Times New Roman" w:hAnsi="Times New Roman" w:cs="Times New Roman"/>
                  <w:color w:val="1155CC"/>
                  <w:u w:val="single"/>
                </w:rPr>
                <w:t>10-week courses and 5-week courses</w:t>
              </w:r>
            </w:hyperlink>
            <w:r>
              <w:rPr>
                <w:rFonts w:ascii="Times New Roman" w:eastAsia="Times New Roman" w:hAnsi="Times New Roman" w:cs="Times New Roman"/>
              </w:rPr>
              <w:t>. Regular 10-week terms are split into two mini-terms (A term</w:t>
            </w:r>
            <w:r>
              <w:rPr>
                <w:rFonts w:ascii="Times New Roman" w:eastAsia="Times New Roman" w:hAnsi="Times New Roman" w:cs="Times New Roman"/>
              </w:rPr>
              <w:t>s are weeks 1-5 and B terms are weeks 6-10) with the intent that candidates can focus on fewer course concepts at a time in an intensive manner, while ESOL and field experience courses are still delivered in the traditional 10-week format. </w:t>
            </w:r>
          </w:p>
          <w:p w:rsidR="00E53683" w:rsidRDefault="00E53683">
            <w:pPr>
              <w:rPr>
                <w:rFonts w:ascii="Times New Roman" w:eastAsia="Times New Roman" w:hAnsi="Times New Roman" w:cs="Times New Roman"/>
              </w:rPr>
            </w:pPr>
          </w:p>
          <w:p w:rsidR="00E53683" w:rsidRDefault="002974EE">
            <w:pPr>
              <w:rPr>
                <w:rFonts w:ascii="Times New Roman" w:eastAsia="Times New Roman" w:hAnsi="Times New Roman" w:cs="Times New Roman"/>
              </w:rPr>
            </w:pPr>
            <w:r>
              <w:rPr>
                <w:rFonts w:ascii="Times New Roman" w:eastAsia="Times New Roman" w:hAnsi="Times New Roman" w:cs="Times New Roman"/>
              </w:rPr>
              <w:t>The dual program is offered at four sites: Gresham, Hermiston/Pendleton, La Grande, and Ontario. </w:t>
            </w:r>
          </w:p>
          <w:p w:rsidR="00E53683" w:rsidRDefault="00E53683">
            <w:pPr>
              <w:rPr>
                <w:rFonts w:ascii="Times New Roman" w:eastAsia="Times New Roman" w:hAnsi="Times New Roman" w:cs="Times New Roman"/>
              </w:rPr>
            </w:pPr>
          </w:p>
          <w:p w:rsidR="00E53683" w:rsidRDefault="002974EE">
            <w:pPr>
              <w:rPr>
                <w:rFonts w:ascii="Times New Roman" w:eastAsia="Times New Roman" w:hAnsi="Times New Roman" w:cs="Times New Roman"/>
              </w:rPr>
            </w:pPr>
            <w:r>
              <w:rPr>
                <w:rFonts w:ascii="Times New Roman" w:eastAsia="Times New Roman" w:hAnsi="Times New Roman" w:cs="Times New Roman"/>
                <w:b/>
                <w:i/>
              </w:rPr>
              <w:t>Master of Arts in Teaching (MAT) - Elementary or Secondary Initial Teacher Preparation: </w:t>
            </w:r>
          </w:p>
          <w:p w:rsidR="00E53683" w:rsidRDefault="002974EE">
            <w:pPr>
              <w:spacing w:after="100"/>
              <w:rPr>
                <w:rFonts w:ascii="Times New Roman" w:eastAsia="Times New Roman" w:hAnsi="Times New Roman" w:cs="Times New Roman"/>
              </w:rPr>
            </w:pPr>
            <w:r>
              <w:rPr>
                <w:rFonts w:ascii="Times New Roman" w:eastAsia="Times New Roman" w:hAnsi="Times New Roman" w:cs="Times New Roman"/>
              </w:rPr>
              <w:t>The College of Education’s full-time, intensive Master of Arts in Teaching (MAT) program blends professional experience obtained in classroom settings along with academic preparation. </w:t>
            </w:r>
          </w:p>
          <w:p w:rsidR="00E53683" w:rsidRDefault="002974EE">
            <w:pPr>
              <w:rPr>
                <w:rFonts w:ascii="Times New Roman" w:eastAsia="Times New Roman" w:hAnsi="Times New Roman" w:cs="Times New Roman"/>
              </w:rPr>
            </w:pPr>
            <w:r>
              <w:rPr>
                <w:rFonts w:ascii="Times New Roman" w:eastAsia="Times New Roman" w:hAnsi="Times New Roman" w:cs="Times New Roman"/>
              </w:rPr>
              <w:t xml:space="preserve">The MAT cohort program is a 10-month hybrid program. </w:t>
            </w:r>
            <w:hyperlink r:id="rId16">
              <w:r>
                <w:rPr>
                  <w:rFonts w:ascii="Times New Roman" w:eastAsia="Times New Roman" w:hAnsi="Times New Roman" w:cs="Times New Roman"/>
                  <w:color w:val="1155CC"/>
                  <w:u w:val="single"/>
                </w:rPr>
                <w:t>Most courses</w:t>
              </w:r>
            </w:hyperlink>
            <w:r>
              <w:rPr>
                <w:rFonts w:ascii="Times New Roman" w:eastAsia="Times New Roman" w:hAnsi="Times New Roman" w:cs="Times New Roman"/>
              </w:rPr>
              <w:t xml:space="preserve"> are organized into 5 week mini-terms coinciding within the EOU 10-week academic term (e.g. fall A includes weeks 1-5, fall B includes weeks 6-10). The first term of</w:t>
            </w:r>
            <w:r>
              <w:rPr>
                <w:rFonts w:ascii="Times New Roman" w:eastAsia="Times New Roman" w:hAnsi="Times New Roman" w:cs="Times New Roman"/>
              </w:rPr>
              <w:t xml:space="preserve"> the program (summer) is 6 weeks, with the first week of the term in residence on the La Grande campus.  During </w:t>
            </w:r>
            <w:hyperlink r:id="rId17">
              <w:r>
                <w:rPr>
                  <w:rFonts w:ascii="Times New Roman" w:eastAsia="Times New Roman" w:hAnsi="Times New Roman" w:cs="Times New Roman"/>
                  <w:color w:val="1155CC"/>
                  <w:u w:val="single"/>
                </w:rPr>
                <w:t>each mini-term</w:t>
              </w:r>
            </w:hyperlink>
            <w:r>
              <w:rPr>
                <w:rFonts w:ascii="Times New Roman" w:eastAsia="Times New Roman" w:hAnsi="Times New Roman" w:cs="Times New Roman"/>
              </w:rPr>
              <w:t xml:space="preserve"> (summer, fall, and winter only), candidates a</w:t>
            </w:r>
            <w:r>
              <w:rPr>
                <w:rFonts w:ascii="Times New Roman" w:eastAsia="Times New Roman" w:hAnsi="Times New Roman" w:cs="Times New Roman"/>
              </w:rPr>
              <w:t>re required to return to the La Grande campus for one weekend (Thursday 5-9, Friday 8-6, and Saturday 8-5) for face-to-face classes.  During the spring term, candidates do not have on-campus courses.  Throughout the program candidates will be required to m</w:t>
            </w:r>
            <w:r>
              <w:rPr>
                <w:rFonts w:ascii="Times New Roman" w:eastAsia="Times New Roman" w:hAnsi="Times New Roman" w:cs="Times New Roman"/>
              </w:rPr>
              <w:t>eet synchronously, asynchronously, and face-to-face.</w:t>
            </w:r>
          </w:p>
          <w:p w:rsidR="00E53683" w:rsidRDefault="00E53683">
            <w:pPr>
              <w:rPr>
                <w:rFonts w:ascii="Times New Roman" w:eastAsia="Times New Roman" w:hAnsi="Times New Roman" w:cs="Times New Roman"/>
              </w:rPr>
            </w:pPr>
          </w:p>
          <w:p w:rsidR="00E53683" w:rsidRDefault="002974EE">
            <w:pPr>
              <w:rPr>
                <w:rFonts w:ascii="Times New Roman" w:eastAsia="Times New Roman" w:hAnsi="Times New Roman" w:cs="Times New Roman"/>
              </w:rPr>
            </w:pPr>
            <w:r>
              <w:rPr>
                <w:rFonts w:ascii="Times New Roman" w:eastAsia="Times New Roman" w:hAnsi="Times New Roman" w:cs="Times New Roman"/>
              </w:rPr>
              <w:t>MAT Teacher Candidates are placed in K-12 classrooms to work alongside and learn from Mentor Teachers and a University Supervisor.  Candidates will have two placements (fall term - A placement and winte</w:t>
            </w:r>
            <w:r>
              <w:rPr>
                <w:rFonts w:ascii="Times New Roman" w:eastAsia="Times New Roman" w:hAnsi="Times New Roman" w:cs="Times New Roman"/>
              </w:rPr>
              <w:t>r/spring terms - B placement) in the appropriate endorsement seeking area, typically completing two different grade levels.  Candidates are expected to be in placement during all teacher contract hours, except for Fridays in placement A.  The field experie</w:t>
            </w:r>
            <w:r>
              <w:rPr>
                <w:rFonts w:ascii="Times New Roman" w:eastAsia="Times New Roman" w:hAnsi="Times New Roman" w:cs="Times New Roman"/>
              </w:rPr>
              <w:t>nce expectations are developmental and culminate with a 15-week student teaching experience.  The Student Teaching experience meets requirements as set by the Oregon Teacher Standards and Practices Commission (</w:t>
            </w:r>
            <w:hyperlink r:id="rId18">
              <w:r>
                <w:rPr>
                  <w:rFonts w:ascii="Times New Roman" w:eastAsia="Times New Roman" w:hAnsi="Times New Roman" w:cs="Times New Roman"/>
                  <w:color w:val="1155CC"/>
                  <w:u w:val="single"/>
                </w:rPr>
                <w:t>584-400-0140</w:t>
              </w:r>
            </w:hyperlink>
            <w:r>
              <w:rPr>
                <w:rFonts w:ascii="Times New Roman" w:eastAsia="Times New Roman" w:hAnsi="Times New Roman" w:cs="Times New Roman"/>
              </w:rPr>
              <w:t>) for preservice candidates.  </w:t>
            </w:r>
          </w:p>
          <w:p w:rsidR="00E53683" w:rsidRDefault="00E53683">
            <w:pPr>
              <w:rPr>
                <w:rFonts w:ascii="Times New Roman" w:eastAsia="Times New Roman" w:hAnsi="Times New Roman" w:cs="Times New Roman"/>
              </w:rPr>
            </w:pPr>
          </w:p>
          <w:p w:rsidR="00E53683" w:rsidRDefault="002974EE">
            <w:pPr>
              <w:rPr>
                <w:rFonts w:ascii="Times New Roman" w:eastAsia="Times New Roman" w:hAnsi="Times New Roman" w:cs="Times New Roman"/>
              </w:rPr>
            </w:pPr>
            <w:r>
              <w:rPr>
                <w:rFonts w:ascii="Times New Roman" w:eastAsia="Times New Roman" w:hAnsi="Times New Roman" w:cs="Times New Roman"/>
              </w:rPr>
              <w:t>In order to enter the MAT-Secondary program, at minimum they need to have completed a minor related to the content of the endorsement they seek, preferably a majo</w:t>
            </w:r>
            <w:r>
              <w:rPr>
                <w:rFonts w:ascii="Times New Roman" w:eastAsia="Times New Roman" w:hAnsi="Times New Roman" w:cs="Times New Roman"/>
              </w:rPr>
              <w:t>r. Math, Biology, Chemistry, Physics, General Science, and Social Science are exceptions to this general guideline as faculty content area specialists in these areas have provided guidance for more specific entrance requirements.</w:t>
            </w:r>
          </w:p>
          <w:p w:rsidR="00E53683" w:rsidRDefault="00E53683">
            <w:pPr>
              <w:rPr>
                <w:rFonts w:ascii="Times New Roman" w:eastAsia="Times New Roman" w:hAnsi="Times New Roman" w:cs="Times New Roman"/>
              </w:rPr>
            </w:pPr>
          </w:p>
          <w:p w:rsidR="00E53683" w:rsidRDefault="002974EE">
            <w:pPr>
              <w:rPr>
                <w:rFonts w:ascii="Times New Roman" w:eastAsia="Times New Roman" w:hAnsi="Times New Roman" w:cs="Times New Roman"/>
              </w:rPr>
            </w:pPr>
            <w:r>
              <w:rPr>
                <w:rFonts w:ascii="Times New Roman" w:eastAsia="Times New Roman" w:hAnsi="Times New Roman" w:cs="Times New Roman"/>
              </w:rPr>
              <w:t>Some endorsement programs</w:t>
            </w:r>
            <w:r>
              <w:rPr>
                <w:rFonts w:ascii="Times New Roman" w:eastAsia="Times New Roman" w:hAnsi="Times New Roman" w:cs="Times New Roman"/>
              </w:rPr>
              <w:t xml:space="preserve"> offered as part of the MAT-Secondary program require full programs: Art, Music, and PE. Building upon the content area foundation from their undergraduate studies, candidates in these programs complete the same courses as other candidates in the MAT-Secon</w:t>
            </w:r>
            <w:r>
              <w:rPr>
                <w:rFonts w:ascii="Times New Roman" w:eastAsia="Times New Roman" w:hAnsi="Times New Roman" w:cs="Times New Roman"/>
              </w:rPr>
              <w:t xml:space="preserve">dary program, with the exception that the methods courses and field experiences are by endorsement. Within other general courses in the program, candidates tailor concepts and applications to selected endorsement areas. </w:t>
            </w:r>
          </w:p>
          <w:p w:rsidR="00E53683" w:rsidRDefault="00E53683">
            <w:pPr>
              <w:rPr>
                <w:rFonts w:ascii="Arial" w:eastAsia="Arial" w:hAnsi="Arial" w:cs="Arial"/>
                <w:sz w:val="22"/>
                <w:szCs w:val="22"/>
              </w:rPr>
            </w:pPr>
          </w:p>
        </w:tc>
      </w:tr>
    </w:tbl>
    <w:p w:rsidR="00E53683" w:rsidRDefault="00E53683"/>
    <w:p w:rsidR="00E53683" w:rsidRDefault="002974EE">
      <w:pPr>
        <w:keepNext/>
        <w:spacing w:after="120"/>
        <w:rPr>
          <w:b/>
        </w:rPr>
      </w:pPr>
      <w:r>
        <w:rPr>
          <w:b/>
        </w:rPr>
        <w:t>Public Posting URL</w:t>
      </w:r>
    </w:p>
    <w:p w:rsidR="00E53683" w:rsidRDefault="002974EE">
      <w:pPr>
        <w:keepNext/>
        <w:spacing w:after="200"/>
      </w:pPr>
      <w:r>
        <w:t>Part I of thi</w:t>
      </w:r>
      <w:r>
        <w:t xml:space="preserve">s report is posted at the following web address (accredited members filing this report must post at least Part I): </w:t>
      </w:r>
    </w:p>
    <w:tbl>
      <w:tblPr>
        <w:tblStyle w:val="afffa"/>
        <w:tblW w:w="129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961"/>
      </w:tblGrid>
      <w:tr w:rsidR="00E53683">
        <w:trPr>
          <w:trHeight w:val="169"/>
        </w:trPr>
        <w:tc>
          <w:tcPr>
            <w:tcW w:w="12961" w:type="dxa"/>
            <w:shd w:val="clear" w:color="auto" w:fill="D0E0E3"/>
            <w:tcMar>
              <w:top w:w="100" w:type="dxa"/>
              <w:left w:w="100" w:type="dxa"/>
              <w:bottom w:w="100" w:type="dxa"/>
              <w:right w:w="100" w:type="dxa"/>
            </w:tcMar>
          </w:tcPr>
          <w:p w:rsidR="00E53683" w:rsidRDefault="002974EE">
            <w:pPr>
              <w:rPr>
                <w:rFonts w:ascii="Arial" w:eastAsia="Arial" w:hAnsi="Arial" w:cs="Arial"/>
                <w:sz w:val="22"/>
                <w:szCs w:val="22"/>
              </w:rPr>
            </w:pPr>
            <w:r>
              <w:rPr>
                <w:rFonts w:ascii="Arial" w:eastAsia="Arial" w:hAnsi="Arial" w:cs="Arial"/>
                <w:sz w:val="22"/>
                <w:szCs w:val="22"/>
              </w:rPr>
              <w:t>https://www.eou.edu/college-of-education/</w:t>
            </w:r>
          </w:p>
        </w:tc>
      </w:tr>
    </w:tbl>
    <w:p w:rsidR="00E53683" w:rsidRDefault="00E53683"/>
    <w:p w:rsidR="00E53683" w:rsidRDefault="002974EE">
      <w:pPr>
        <w:keepNext/>
        <w:numPr>
          <w:ilvl w:val="0"/>
          <w:numId w:val="10"/>
        </w:numPr>
        <w:spacing w:after="120"/>
        <w:ind w:left="360"/>
        <w:rPr>
          <w:b/>
        </w:rPr>
      </w:pPr>
      <w:r>
        <w:rPr>
          <w:b/>
          <w:sz w:val="28"/>
          <w:szCs w:val="28"/>
        </w:rPr>
        <w:t>Enrollment and Completion Data</w:t>
      </w:r>
    </w:p>
    <w:p w:rsidR="00E53683" w:rsidRDefault="002974EE">
      <w:pPr>
        <w:keepNext/>
        <w:spacing w:after="200"/>
      </w:pPr>
      <w:r>
        <w:t>Table 1 shows current enrollment and recent completion data for each program included in the AAQEP review.</w:t>
      </w:r>
    </w:p>
    <w:p w:rsidR="00E53683" w:rsidRDefault="002974EE">
      <w:pPr>
        <w:keepNext/>
        <w:spacing w:after="120"/>
        <w:rPr>
          <w:color w:val="134F5C"/>
          <w:sz w:val="24"/>
          <w:szCs w:val="24"/>
        </w:rPr>
      </w:pPr>
      <w:r>
        <w:rPr>
          <w:b/>
        </w:rPr>
        <w:t>Table 1. Program Specification: Enrollment and Completers for Academic Year 2021-2022</w:t>
      </w:r>
    </w:p>
    <w:tbl>
      <w:tblPr>
        <w:tblStyle w:val="afffb"/>
        <w:tblW w:w="1278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0"/>
        <w:gridCol w:w="4095"/>
        <w:gridCol w:w="2280"/>
        <w:gridCol w:w="2115"/>
      </w:tblGrid>
      <w:tr w:rsidR="00E53683">
        <w:trPr>
          <w:trHeight w:val="1224"/>
        </w:trPr>
        <w:tc>
          <w:tcPr>
            <w:tcW w:w="42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3683" w:rsidRDefault="002974EE">
            <w:pPr>
              <w:spacing w:after="160"/>
              <w:rPr>
                <w:rFonts w:ascii="Times New Roman" w:eastAsia="Times New Roman" w:hAnsi="Times New Roman" w:cs="Times New Roman"/>
              </w:rPr>
            </w:pPr>
            <w:r>
              <w:rPr>
                <w:b/>
              </w:rPr>
              <w:t>Degree or Certificate</w:t>
            </w:r>
            <w:r>
              <w:t xml:space="preserve"> granted by the institution or organizatio</w:t>
            </w:r>
            <w:r>
              <w:t>n</w:t>
            </w:r>
          </w:p>
        </w:tc>
        <w:tc>
          <w:tcPr>
            <w:tcW w:w="4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3683" w:rsidRDefault="002974EE">
            <w:pPr>
              <w:spacing w:after="160"/>
              <w:rPr>
                <w:rFonts w:ascii="Times New Roman" w:eastAsia="Times New Roman" w:hAnsi="Times New Roman" w:cs="Times New Roman"/>
              </w:rPr>
            </w:pPr>
            <w:r>
              <w:rPr>
                <w:b/>
              </w:rPr>
              <w:t xml:space="preserve">State Certificate, License, Endorsement, or </w:t>
            </w:r>
            <w:proofErr w:type="gramStart"/>
            <w:r>
              <w:rPr>
                <w:b/>
              </w:rPr>
              <w:t>Other</w:t>
            </w:r>
            <w:proofErr w:type="gramEnd"/>
            <w:r>
              <w:rPr>
                <w:b/>
              </w:rPr>
              <w:t xml:space="preserve"> Credential</w:t>
            </w:r>
            <w:r>
              <w:t xml:space="preserve"> </w:t>
            </w:r>
          </w:p>
        </w:tc>
        <w:tc>
          <w:tcPr>
            <w:tcW w:w="22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3683" w:rsidRDefault="002974EE">
            <w:r>
              <w:rPr>
                <w:b/>
                <w:sz w:val="20"/>
                <w:szCs w:val="20"/>
              </w:rPr>
              <w:t>Number of Candidates</w:t>
            </w:r>
            <w:r>
              <w:rPr>
                <w:sz w:val="20"/>
                <w:szCs w:val="20"/>
              </w:rPr>
              <w:br/>
              <w:t xml:space="preserve">enrolled in most recently completed academic year (12 months ending </w:t>
            </w:r>
            <w:r>
              <w:rPr>
                <w:sz w:val="20"/>
                <w:szCs w:val="20"/>
                <w:shd w:val="clear" w:color="auto" w:fill="D0E0E3"/>
              </w:rPr>
              <w:t>08/22</w:t>
            </w:r>
            <w:r>
              <w:rPr>
                <w:sz w:val="20"/>
                <w:szCs w:val="20"/>
              </w:rPr>
              <w:t>)</w:t>
            </w:r>
          </w:p>
        </w:tc>
        <w:tc>
          <w:tcPr>
            <w:tcW w:w="21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3683" w:rsidRDefault="002974EE">
            <w:pPr>
              <w:rPr>
                <w:rFonts w:ascii="Times New Roman" w:eastAsia="Times New Roman" w:hAnsi="Times New Roman" w:cs="Times New Roman"/>
              </w:rPr>
            </w:pPr>
            <w:r>
              <w:rPr>
                <w:b/>
                <w:sz w:val="20"/>
                <w:szCs w:val="20"/>
              </w:rPr>
              <w:t>Number of Completers</w:t>
            </w:r>
            <w:r>
              <w:rPr>
                <w:sz w:val="20"/>
                <w:szCs w:val="20"/>
              </w:rPr>
              <w:br/>
              <w:t xml:space="preserve">in most recently completed academic year (12 months ending </w:t>
            </w:r>
            <w:r>
              <w:rPr>
                <w:sz w:val="20"/>
                <w:szCs w:val="20"/>
                <w:shd w:val="clear" w:color="auto" w:fill="D0E0E3"/>
              </w:rPr>
              <w:t>08/22)</w:t>
            </w:r>
          </w:p>
        </w:tc>
      </w:tr>
      <w:tr w:rsidR="00E53683">
        <w:trPr>
          <w:trHeight w:val="30"/>
        </w:trPr>
        <w:tc>
          <w:tcPr>
            <w:tcW w:w="12780"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3683" w:rsidRDefault="002974EE">
            <w:pPr>
              <w:jc w:val="center"/>
              <w:rPr>
                <w:sz w:val="20"/>
                <w:szCs w:val="20"/>
              </w:rPr>
            </w:pPr>
            <w:r>
              <w:rPr>
                <w:b/>
                <w:i/>
                <w:sz w:val="20"/>
                <w:szCs w:val="20"/>
              </w:rPr>
              <w:t>Programs that lead to initial teaching credentials</w:t>
            </w:r>
          </w:p>
        </w:tc>
      </w:tr>
      <w:tr w:rsidR="00E53683">
        <w:trPr>
          <w:trHeight w:val="180"/>
        </w:trPr>
        <w:tc>
          <w:tcPr>
            <w:tcW w:w="429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sz w:val="20"/>
                <w:szCs w:val="20"/>
              </w:rPr>
            </w:pPr>
            <w:r>
              <w:rPr>
                <w:sz w:val="20"/>
                <w:szCs w:val="20"/>
              </w:rPr>
              <w:t xml:space="preserve">Undergraduate </w:t>
            </w:r>
          </w:p>
        </w:tc>
        <w:tc>
          <w:tcPr>
            <w:tcW w:w="409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sz w:val="20"/>
                <w:szCs w:val="20"/>
              </w:rPr>
            </w:pPr>
            <w:r>
              <w:rPr>
                <w:sz w:val="20"/>
                <w:szCs w:val="20"/>
              </w:rPr>
              <w:t>Preliminary License – Multiple Subjects</w:t>
            </w: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i/>
                <w:sz w:val="20"/>
                <w:szCs w:val="20"/>
              </w:rPr>
            </w:pPr>
            <w:r>
              <w:rPr>
                <w:i/>
                <w:sz w:val="20"/>
                <w:szCs w:val="20"/>
              </w:rPr>
              <w:t>35</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41</w:t>
            </w:r>
          </w:p>
        </w:tc>
      </w:tr>
      <w:tr w:rsidR="00E53683">
        <w:trPr>
          <w:trHeight w:val="180"/>
        </w:trPr>
        <w:tc>
          <w:tcPr>
            <w:tcW w:w="429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sz w:val="20"/>
                <w:szCs w:val="20"/>
              </w:rPr>
            </w:pPr>
            <w:r>
              <w:rPr>
                <w:sz w:val="20"/>
                <w:szCs w:val="20"/>
              </w:rPr>
              <w:t xml:space="preserve">Undergraduate </w:t>
            </w:r>
          </w:p>
        </w:tc>
        <w:tc>
          <w:tcPr>
            <w:tcW w:w="409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sz w:val="20"/>
                <w:szCs w:val="20"/>
              </w:rPr>
            </w:pPr>
            <w:r>
              <w:rPr>
                <w:sz w:val="20"/>
                <w:szCs w:val="20"/>
              </w:rPr>
              <w:t xml:space="preserve">Preliminary License - Generalist Special Education </w:t>
            </w: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i/>
                <w:sz w:val="20"/>
                <w:szCs w:val="20"/>
              </w:rPr>
            </w:pPr>
            <w:r>
              <w:rPr>
                <w:i/>
                <w:sz w:val="20"/>
                <w:szCs w:val="20"/>
              </w:rPr>
              <w:t>1</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0</w:t>
            </w:r>
          </w:p>
        </w:tc>
      </w:tr>
      <w:tr w:rsidR="00E53683">
        <w:trPr>
          <w:trHeight w:val="180"/>
        </w:trPr>
        <w:tc>
          <w:tcPr>
            <w:tcW w:w="429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sz w:val="20"/>
                <w:szCs w:val="20"/>
              </w:rPr>
            </w:pPr>
            <w:r>
              <w:rPr>
                <w:sz w:val="20"/>
                <w:szCs w:val="20"/>
              </w:rPr>
              <w:t>Master of Arts in Teaching</w:t>
            </w:r>
          </w:p>
        </w:tc>
        <w:tc>
          <w:tcPr>
            <w:tcW w:w="409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sz w:val="20"/>
                <w:szCs w:val="20"/>
              </w:rPr>
            </w:pPr>
            <w:r>
              <w:rPr>
                <w:sz w:val="20"/>
                <w:szCs w:val="20"/>
              </w:rPr>
              <w:t>Preliminary License – Multiple Subjects</w:t>
            </w: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28</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25</w:t>
            </w:r>
          </w:p>
        </w:tc>
      </w:tr>
      <w:tr w:rsidR="00E53683">
        <w:trPr>
          <w:trHeight w:val="180"/>
        </w:trPr>
        <w:tc>
          <w:tcPr>
            <w:tcW w:w="429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tabs>
                <w:tab w:val="left" w:pos="2688"/>
              </w:tabs>
              <w:rPr>
                <w:sz w:val="20"/>
                <w:szCs w:val="20"/>
              </w:rPr>
            </w:pPr>
            <w:r>
              <w:rPr>
                <w:sz w:val="20"/>
                <w:szCs w:val="20"/>
              </w:rPr>
              <w:t>Master of Arts in Teaching</w:t>
            </w:r>
          </w:p>
        </w:tc>
        <w:tc>
          <w:tcPr>
            <w:tcW w:w="409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sz w:val="20"/>
                <w:szCs w:val="20"/>
              </w:rPr>
            </w:pPr>
            <w:r>
              <w:rPr>
                <w:sz w:val="20"/>
                <w:szCs w:val="20"/>
              </w:rPr>
              <w:t xml:space="preserve">Preliminary License – Secondary </w:t>
            </w:r>
          </w:p>
          <w:p w:rsidR="00E53683" w:rsidRDefault="00E53683">
            <w:pPr>
              <w:rPr>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62 Total</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38</w:t>
            </w:r>
          </w:p>
        </w:tc>
      </w:tr>
      <w:tr w:rsidR="00E53683">
        <w:trPr>
          <w:trHeight w:val="180"/>
        </w:trPr>
        <w:tc>
          <w:tcPr>
            <w:tcW w:w="429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E53683">
            <w:pPr>
              <w:tabs>
                <w:tab w:val="left" w:pos="2688"/>
              </w:tabs>
              <w:rPr>
                <w:sz w:val="20"/>
                <w:szCs w:val="20"/>
              </w:rPr>
            </w:pPr>
          </w:p>
        </w:tc>
        <w:tc>
          <w:tcPr>
            <w:tcW w:w="409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i/>
                <w:sz w:val="20"/>
                <w:szCs w:val="20"/>
              </w:rPr>
            </w:pPr>
            <w:r>
              <w:rPr>
                <w:i/>
                <w:sz w:val="20"/>
                <w:szCs w:val="20"/>
              </w:rPr>
              <w:t>Endorsement: Art</w:t>
            </w: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i/>
                <w:sz w:val="20"/>
                <w:szCs w:val="20"/>
              </w:rPr>
            </w:pPr>
            <w:r>
              <w:rPr>
                <w:i/>
                <w:sz w:val="20"/>
                <w:szCs w:val="20"/>
              </w:rPr>
              <w:t>6</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3</w:t>
            </w:r>
          </w:p>
        </w:tc>
      </w:tr>
      <w:tr w:rsidR="00E53683">
        <w:trPr>
          <w:trHeight w:val="180"/>
        </w:trPr>
        <w:tc>
          <w:tcPr>
            <w:tcW w:w="429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E53683">
            <w:pPr>
              <w:tabs>
                <w:tab w:val="left" w:pos="2688"/>
              </w:tabs>
              <w:rPr>
                <w:sz w:val="20"/>
                <w:szCs w:val="20"/>
              </w:rPr>
            </w:pPr>
          </w:p>
        </w:tc>
        <w:tc>
          <w:tcPr>
            <w:tcW w:w="409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i/>
                <w:sz w:val="20"/>
                <w:szCs w:val="20"/>
              </w:rPr>
            </w:pPr>
            <w:r>
              <w:rPr>
                <w:i/>
                <w:sz w:val="20"/>
                <w:szCs w:val="20"/>
              </w:rPr>
              <w:t>Endorsement: Biology</w:t>
            </w: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i/>
                <w:sz w:val="20"/>
                <w:szCs w:val="20"/>
              </w:rPr>
            </w:pPr>
            <w:r>
              <w:rPr>
                <w:i/>
                <w:sz w:val="20"/>
                <w:szCs w:val="20"/>
              </w:rPr>
              <w:t>0</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2</w:t>
            </w:r>
          </w:p>
        </w:tc>
      </w:tr>
      <w:tr w:rsidR="00E53683">
        <w:trPr>
          <w:trHeight w:val="180"/>
        </w:trPr>
        <w:tc>
          <w:tcPr>
            <w:tcW w:w="429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E53683">
            <w:pPr>
              <w:tabs>
                <w:tab w:val="left" w:pos="2688"/>
              </w:tabs>
              <w:rPr>
                <w:sz w:val="20"/>
                <w:szCs w:val="20"/>
              </w:rPr>
            </w:pPr>
          </w:p>
        </w:tc>
        <w:tc>
          <w:tcPr>
            <w:tcW w:w="409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i/>
                <w:sz w:val="20"/>
                <w:szCs w:val="20"/>
              </w:rPr>
            </w:pPr>
            <w:r>
              <w:rPr>
                <w:i/>
                <w:sz w:val="20"/>
                <w:szCs w:val="20"/>
              </w:rPr>
              <w:t>Endorsement: Chemistry</w:t>
            </w: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i/>
                <w:sz w:val="20"/>
                <w:szCs w:val="20"/>
              </w:rPr>
            </w:pPr>
            <w:r>
              <w:rPr>
                <w:i/>
                <w:sz w:val="20"/>
                <w:szCs w:val="20"/>
              </w:rPr>
              <w:t>0</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1</w:t>
            </w:r>
          </w:p>
        </w:tc>
      </w:tr>
      <w:tr w:rsidR="00E53683">
        <w:trPr>
          <w:trHeight w:val="180"/>
        </w:trPr>
        <w:tc>
          <w:tcPr>
            <w:tcW w:w="429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E53683">
            <w:pPr>
              <w:tabs>
                <w:tab w:val="left" w:pos="2688"/>
              </w:tabs>
              <w:rPr>
                <w:sz w:val="20"/>
                <w:szCs w:val="20"/>
              </w:rPr>
            </w:pPr>
          </w:p>
        </w:tc>
        <w:tc>
          <w:tcPr>
            <w:tcW w:w="409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i/>
                <w:sz w:val="20"/>
                <w:szCs w:val="20"/>
              </w:rPr>
            </w:pPr>
            <w:r>
              <w:rPr>
                <w:i/>
                <w:sz w:val="20"/>
                <w:szCs w:val="20"/>
              </w:rPr>
              <w:t>Endorsement: Science</w:t>
            </w: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i/>
                <w:sz w:val="20"/>
                <w:szCs w:val="20"/>
              </w:rPr>
            </w:pPr>
            <w:r>
              <w:rPr>
                <w:i/>
                <w:sz w:val="20"/>
                <w:szCs w:val="20"/>
              </w:rPr>
              <w:t>1</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1</w:t>
            </w:r>
          </w:p>
        </w:tc>
      </w:tr>
      <w:tr w:rsidR="00E53683">
        <w:trPr>
          <w:trHeight w:val="180"/>
        </w:trPr>
        <w:tc>
          <w:tcPr>
            <w:tcW w:w="429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E53683">
            <w:pPr>
              <w:tabs>
                <w:tab w:val="left" w:pos="2688"/>
              </w:tabs>
              <w:rPr>
                <w:sz w:val="20"/>
                <w:szCs w:val="20"/>
              </w:rPr>
            </w:pPr>
          </w:p>
        </w:tc>
        <w:tc>
          <w:tcPr>
            <w:tcW w:w="409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i/>
                <w:sz w:val="20"/>
                <w:szCs w:val="20"/>
              </w:rPr>
            </w:pPr>
            <w:r>
              <w:rPr>
                <w:i/>
                <w:sz w:val="20"/>
                <w:szCs w:val="20"/>
              </w:rPr>
              <w:t>Endorsement: Physics</w:t>
            </w: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i/>
                <w:sz w:val="20"/>
                <w:szCs w:val="20"/>
              </w:rPr>
            </w:pPr>
            <w:r>
              <w:rPr>
                <w:i/>
                <w:sz w:val="20"/>
                <w:szCs w:val="20"/>
              </w:rPr>
              <w:t>1</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0</w:t>
            </w:r>
          </w:p>
        </w:tc>
      </w:tr>
      <w:tr w:rsidR="00E53683">
        <w:trPr>
          <w:trHeight w:val="180"/>
        </w:trPr>
        <w:tc>
          <w:tcPr>
            <w:tcW w:w="429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E53683">
            <w:pPr>
              <w:tabs>
                <w:tab w:val="left" w:pos="2688"/>
              </w:tabs>
              <w:rPr>
                <w:sz w:val="20"/>
                <w:szCs w:val="20"/>
              </w:rPr>
            </w:pPr>
          </w:p>
        </w:tc>
        <w:tc>
          <w:tcPr>
            <w:tcW w:w="409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i/>
                <w:sz w:val="20"/>
                <w:szCs w:val="20"/>
              </w:rPr>
            </w:pPr>
            <w:r>
              <w:rPr>
                <w:i/>
                <w:sz w:val="20"/>
                <w:szCs w:val="20"/>
              </w:rPr>
              <w:t>Endorsement: Language Arts</w:t>
            </w: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i/>
                <w:sz w:val="20"/>
                <w:szCs w:val="20"/>
              </w:rPr>
            </w:pPr>
            <w:r>
              <w:rPr>
                <w:i/>
                <w:sz w:val="20"/>
                <w:szCs w:val="20"/>
              </w:rPr>
              <w:t>11</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12</w:t>
            </w:r>
          </w:p>
        </w:tc>
      </w:tr>
      <w:tr w:rsidR="00E53683">
        <w:trPr>
          <w:trHeight w:val="180"/>
        </w:trPr>
        <w:tc>
          <w:tcPr>
            <w:tcW w:w="429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E53683">
            <w:pPr>
              <w:tabs>
                <w:tab w:val="left" w:pos="2688"/>
              </w:tabs>
              <w:rPr>
                <w:sz w:val="20"/>
                <w:szCs w:val="20"/>
              </w:rPr>
            </w:pPr>
          </w:p>
        </w:tc>
        <w:tc>
          <w:tcPr>
            <w:tcW w:w="409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i/>
                <w:sz w:val="20"/>
                <w:szCs w:val="20"/>
              </w:rPr>
            </w:pPr>
            <w:r>
              <w:rPr>
                <w:i/>
                <w:sz w:val="20"/>
                <w:szCs w:val="20"/>
              </w:rPr>
              <w:t>Endorsement: Math</w:t>
            </w: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i/>
                <w:sz w:val="20"/>
                <w:szCs w:val="20"/>
              </w:rPr>
            </w:pPr>
            <w:r>
              <w:rPr>
                <w:i/>
                <w:sz w:val="20"/>
                <w:szCs w:val="20"/>
              </w:rPr>
              <w:t>1</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6</w:t>
            </w:r>
          </w:p>
        </w:tc>
      </w:tr>
      <w:tr w:rsidR="00E53683">
        <w:trPr>
          <w:trHeight w:val="180"/>
        </w:trPr>
        <w:tc>
          <w:tcPr>
            <w:tcW w:w="429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E53683">
            <w:pPr>
              <w:tabs>
                <w:tab w:val="left" w:pos="2688"/>
              </w:tabs>
              <w:rPr>
                <w:sz w:val="20"/>
                <w:szCs w:val="20"/>
              </w:rPr>
            </w:pPr>
          </w:p>
        </w:tc>
        <w:tc>
          <w:tcPr>
            <w:tcW w:w="409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i/>
                <w:sz w:val="20"/>
                <w:szCs w:val="20"/>
              </w:rPr>
            </w:pPr>
            <w:r>
              <w:rPr>
                <w:i/>
                <w:sz w:val="20"/>
                <w:szCs w:val="20"/>
              </w:rPr>
              <w:t>Endorsement: PE</w:t>
            </w: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i/>
                <w:sz w:val="20"/>
                <w:szCs w:val="20"/>
              </w:rPr>
            </w:pPr>
            <w:r>
              <w:rPr>
                <w:i/>
                <w:sz w:val="20"/>
                <w:szCs w:val="20"/>
              </w:rPr>
              <w:t>17</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8</w:t>
            </w:r>
          </w:p>
        </w:tc>
      </w:tr>
      <w:tr w:rsidR="00E53683">
        <w:trPr>
          <w:trHeight w:val="180"/>
        </w:trPr>
        <w:tc>
          <w:tcPr>
            <w:tcW w:w="429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E53683">
            <w:pPr>
              <w:tabs>
                <w:tab w:val="left" w:pos="2688"/>
              </w:tabs>
              <w:rPr>
                <w:sz w:val="20"/>
                <w:szCs w:val="20"/>
              </w:rPr>
            </w:pPr>
          </w:p>
        </w:tc>
        <w:tc>
          <w:tcPr>
            <w:tcW w:w="409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i/>
                <w:sz w:val="20"/>
                <w:szCs w:val="20"/>
              </w:rPr>
            </w:pPr>
            <w:r>
              <w:rPr>
                <w:i/>
                <w:sz w:val="20"/>
                <w:szCs w:val="20"/>
              </w:rPr>
              <w:t>Endorsement: Health</w:t>
            </w: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i/>
                <w:sz w:val="20"/>
                <w:szCs w:val="20"/>
              </w:rPr>
            </w:pPr>
            <w:r>
              <w:rPr>
                <w:i/>
                <w:sz w:val="20"/>
                <w:szCs w:val="20"/>
              </w:rPr>
              <w:t>9</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6</w:t>
            </w:r>
          </w:p>
        </w:tc>
      </w:tr>
      <w:tr w:rsidR="00E53683">
        <w:trPr>
          <w:trHeight w:val="180"/>
        </w:trPr>
        <w:tc>
          <w:tcPr>
            <w:tcW w:w="429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E53683">
            <w:pPr>
              <w:tabs>
                <w:tab w:val="left" w:pos="2688"/>
              </w:tabs>
              <w:rPr>
                <w:sz w:val="20"/>
                <w:szCs w:val="20"/>
              </w:rPr>
            </w:pPr>
          </w:p>
        </w:tc>
        <w:tc>
          <w:tcPr>
            <w:tcW w:w="409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i/>
                <w:sz w:val="20"/>
                <w:szCs w:val="20"/>
              </w:rPr>
            </w:pPr>
            <w:r>
              <w:rPr>
                <w:i/>
                <w:sz w:val="20"/>
                <w:szCs w:val="20"/>
              </w:rPr>
              <w:t>Endorsement: Social Studies</w:t>
            </w: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i/>
                <w:sz w:val="20"/>
                <w:szCs w:val="20"/>
              </w:rPr>
            </w:pPr>
            <w:r>
              <w:rPr>
                <w:i/>
                <w:sz w:val="20"/>
                <w:szCs w:val="20"/>
              </w:rPr>
              <w:t>11</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7</w:t>
            </w:r>
          </w:p>
        </w:tc>
      </w:tr>
      <w:tr w:rsidR="00E53683">
        <w:trPr>
          <w:trHeight w:val="180"/>
        </w:trPr>
        <w:tc>
          <w:tcPr>
            <w:tcW w:w="429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E53683">
            <w:pPr>
              <w:tabs>
                <w:tab w:val="left" w:pos="2688"/>
              </w:tabs>
              <w:rPr>
                <w:sz w:val="20"/>
                <w:szCs w:val="20"/>
              </w:rPr>
            </w:pPr>
          </w:p>
        </w:tc>
        <w:tc>
          <w:tcPr>
            <w:tcW w:w="409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i/>
                <w:sz w:val="20"/>
                <w:szCs w:val="20"/>
              </w:rPr>
            </w:pPr>
            <w:r>
              <w:rPr>
                <w:i/>
                <w:sz w:val="20"/>
                <w:szCs w:val="20"/>
              </w:rPr>
              <w:t>Endorsement: World Language/Spanish</w:t>
            </w: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i/>
                <w:sz w:val="20"/>
                <w:szCs w:val="20"/>
              </w:rPr>
            </w:pPr>
            <w:r>
              <w:rPr>
                <w:i/>
                <w:sz w:val="20"/>
                <w:szCs w:val="20"/>
              </w:rPr>
              <w:t>3</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1</w:t>
            </w:r>
          </w:p>
        </w:tc>
      </w:tr>
      <w:tr w:rsidR="00E53683">
        <w:trPr>
          <w:trHeight w:val="180"/>
        </w:trPr>
        <w:tc>
          <w:tcPr>
            <w:tcW w:w="429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E53683">
            <w:pPr>
              <w:tabs>
                <w:tab w:val="left" w:pos="2688"/>
              </w:tabs>
              <w:rPr>
                <w:sz w:val="20"/>
                <w:szCs w:val="20"/>
              </w:rPr>
            </w:pPr>
          </w:p>
        </w:tc>
        <w:tc>
          <w:tcPr>
            <w:tcW w:w="409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i/>
                <w:sz w:val="20"/>
                <w:szCs w:val="20"/>
              </w:rPr>
            </w:pPr>
            <w:r>
              <w:rPr>
                <w:i/>
                <w:sz w:val="20"/>
                <w:szCs w:val="20"/>
              </w:rPr>
              <w:t>Endorsement: Music</w:t>
            </w: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i/>
                <w:sz w:val="20"/>
                <w:szCs w:val="20"/>
              </w:rPr>
            </w:pPr>
            <w:r>
              <w:rPr>
                <w:i/>
                <w:sz w:val="20"/>
                <w:szCs w:val="20"/>
              </w:rPr>
              <w:t>10</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2</w:t>
            </w:r>
          </w:p>
        </w:tc>
      </w:tr>
      <w:tr w:rsidR="00E53683">
        <w:trPr>
          <w:trHeight w:val="180"/>
        </w:trPr>
        <w:tc>
          <w:tcPr>
            <w:tcW w:w="429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E53683">
            <w:pPr>
              <w:tabs>
                <w:tab w:val="left" w:pos="2688"/>
              </w:tabs>
              <w:rPr>
                <w:sz w:val="20"/>
                <w:szCs w:val="20"/>
              </w:rPr>
            </w:pPr>
          </w:p>
        </w:tc>
        <w:tc>
          <w:tcPr>
            <w:tcW w:w="409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i/>
                <w:sz w:val="20"/>
                <w:szCs w:val="20"/>
              </w:rPr>
            </w:pPr>
            <w:r>
              <w:rPr>
                <w:i/>
                <w:sz w:val="20"/>
                <w:szCs w:val="20"/>
              </w:rPr>
              <w:t>Endorsement: Business</w:t>
            </w: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i/>
                <w:sz w:val="20"/>
                <w:szCs w:val="20"/>
              </w:rPr>
            </w:pPr>
            <w:r>
              <w:rPr>
                <w:i/>
                <w:sz w:val="20"/>
                <w:szCs w:val="20"/>
              </w:rPr>
              <w:t>3</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1</w:t>
            </w:r>
          </w:p>
        </w:tc>
      </w:tr>
      <w:tr w:rsidR="00E53683">
        <w:trPr>
          <w:trHeight w:val="225"/>
        </w:trPr>
        <w:tc>
          <w:tcPr>
            <w:tcW w:w="838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53683" w:rsidRDefault="002974EE">
            <w:pPr>
              <w:jc w:val="right"/>
              <w:rPr>
                <w:i/>
                <w:sz w:val="20"/>
                <w:szCs w:val="20"/>
              </w:rPr>
            </w:pPr>
            <w:r>
              <w:rPr>
                <w:sz w:val="20"/>
                <w:szCs w:val="20"/>
              </w:rPr>
              <w:t>Total for programs that lead to initial credentials</w:t>
            </w: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shd w:val="clear" w:color="auto" w:fill="D0E0E3"/>
              </w:rPr>
            </w:pPr>
            <w:r>
              <w:rPr>
                <w:sz w:val="20"/>
                <w:szCs w:val="20"/>
                <w:shd w:val="clear" w:color="auto" w:fill="D0E0E3"/>
              </w:rPr>
              <w:t>126</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shd w:val="clear" w:color="auto" w:fill="D0E0E3"/>
              </w:rPr>
            </w:pPr>
            <w:r>
              <w:rPr>
                <w:sz w:val="20"/>
                <w:szCs w:val="20"/>
                <w:shd w:val="clear" w:color="auto" w:fill="D0E0E3"/>
              </w:rPr>
              <w:t>104</w:t>
            </w:r>
          </w:p>
        </w:tc>
      </w:tr>
      <w:tr w:rsidR="00E53683">
        <w:trPr>
          <w:trHeight w:val="225"/>
        </w:trPr>
        <w:tc>
          <w:tcPr>
            <w:tcW w:w="12780"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3683" w:rsidRDefault="002974EE">
            <w:pPr>
              <w:jc w:val="center"/>
              <w:rPr>
                <w:sz w:val="20"/>
                <w:szCs w:val="20"/>
              </w:rPr>
            </w:pPr>
            <w:r>
              <w:rPr>
                <w:b/>
                <w:i/>
                <w:sz w:val="20"/>
                <w:szCs w:val="20"/>
              </w:rPr>
              <w:t xml:space="preserve">Programs that lead to additional or advanced credentials for already-licensed educators </w:t>
            </w:r>
          </w:p>
        </w:tc>
      </w:tr>
      <w:tr w:rsidR="00E53683">
        <w:trPr>
          <w:trHeight w:val="139"/>
        </w:trPr>
        <w:tc>
          <w:tcPr>
            <w:tcW w:w="429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sz w:val="20"/>
                <w:szCs w:val="20"/>
              </w:rPr>
            </w:pPr>
            <w:r>
              <w:rPr>
                <w:sz w:val="20"/>
                <w:szCs w:val="20"/>
              </w:rPr>
              <w:t>N/A</w:t>
            </w:r>
          </w:p>
        </w:tc>
        <w:tc>
          <w:tcPr>
            <w:tcW w:w="409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E53683">
            <w:pPr>
              <w:rPr>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0</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0</w:t>
            </w:r>
          </w:p>
        </w:tc>
      </w:tr>
      <w:tr w:rsidR="00E53683">
        <w:trPr>
          <w:trHeight w:val="135"/>
        </w:trPr>
        <w:tc>
          <w:tcPr>
            <w:tcW w:w="83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3683" w:rsidRDefault="002974EE">
            <w:pPr>
              <w:jc w:val="right"/>
              <w:rPr>
                <w:i/>
                <w:sz w:val="20"/>
                <w:szCs w:val="20"/>
              </w:rPr>
            </w:pPr>
            <w:r>
              <w:rPr>
                <w:sz w:val="20"/>
                <w:szCs w:val="20"/>
              </w:rPr>
              <w:t>Total for programs that lead to additional/advanced credentials</w:t>
            </w: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0</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0</w:t>
            </w:r>
          </w:p>
        </w:tc>
      </w:tr>
      <w:tr w:rsidR="00E53683">
        <w:trPr>
          <w:trHeight w:val="15"/>
        </w:trPr>
        <w:tc>
          <w:tcPr>
            <w:tcW w:w="12780"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3683" w:rsidRDefault="002974EE">
            <w:pPr>
              <w:jc w:val="center"/>
              <w:rPr>
                <w:i/>
                <w:sz w:val="20"/>
                <w:szCs w:val="20"/>
              </w:rPr>
            </w:pPr>
            <w:r>
              <w:rPr>
                <w:b/>
                <w:i/>
                <w:sz w:val="20"/>
                <w:szCs w:val="20"/>
              </w:rPr>
              <w:t xml:space="preserve">Programs that </w:t>
            </w:r>
            <w:r>
              <w:rPr>
                <w:rFonts w:ascii="Roboto" w:eastAsia="Roboto" w:hAnsi="Roboto" w:cs="Roboto"/>
                <w:b/>
                <w:i/>
                <w:color w:val="3C4043"/>
                <w:sz w:val="21"/>
                <w:szCs w:val="21"/>
                <w:highlight w:val="white"/>
              </w:rPr>
              <w:t>lead to credentials for other school professionals or to no specific credential</w:t>
            </w:r>
          </w:p>
        </w:tc>
      </w:tr>
      <w:tr w:rsidR="00E53683">
        <w:trPr>
          <w:trHeight w:val="165"/>
        </w:trPr>
        <w:tc>
          <w:tcPr>
            <w:tcW w:w="429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rPr>
                <w:sz w:val="20"/>
                <w:szCs w:val="20"/>
              </w:rPr>
            </w:pPr>
            <w:r>
              <w:rPr>
                <w:sz w:val="20"/>
                <w:szCs w:val="20"/>
              </w:rPr>
              <w:t>N/A</w:t>
            </w:r>
          </w:p>
        </w:tc>
        <w:tc>
          <w:tcPr>
            <w:tcW w:w="409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E53683">
            <w:pPr>
              <w:rPr>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0</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0</w:t>
            </w:r>
          </w:p>
        </w:tc>
      </w:tr>
      <w:tr w:rsidR="00E53683">
        <w:trPr>
          <w:trHeight w:val="135"/>
        </w:trPr>
        <w:tc>
          <w:tcPr>
            <w:tcW w:w="8385" w:type="dxa"/>
            <w:gridSpan w:val="2"/>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tcPr>
          <w:p w:rsidR="00E53683" w:rsidRDefault="002974EE">
            <w:pPr>
              <w:jc w:val="right"/>
              <w:rPr>
                <w:i/>
                <w:sz w:val="20"/>
                <w:szCs w:val="20"/>
              </w:rPr>
            </w:pPr>
            <w:r>
              <w:rPr>
                <w:sz w:val="20"/>
                <w:szCs w:val="20"/>
              </w:rPr>
              <w:t>Total for additional programs</w:t>
            </w:r>
          </w:p>
        </w:tc>
        <w:tc>
          <w:tcPr>
            <w:tcW w:w="2280" w:type="dxa"/>
            <w:tcBorders>
              <w:top w:val="single" w:sz="4" w:space="0" w:color="000000"/>
              <w:left w:val="single" w:sz="4" w:space="0" w:color="000000"/>
              <w:bottom w:val="single" w:sz="12"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0</w:t>
            </w:r>
          </w:p>
        </w:tc>
        <w:tc>
          <w:tcPr>
            <w:tcW w:w="2115" w:type="dxa"/>
            <w:tcBorders>
              <w:top w:val="single" w:sz="4" w:space="0" w:color="000000"/>
              <w:left w:val="single" w:sz="4" w:space="0" w:color="000000"/>
              <w:bottom w:val="single" w:sz="12"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0</w:t>
            </w:r>
          </w:p>
        </w:tc>
      </w:tr>
      <w:tr w:rsidR="00E53683">
        <w:trPr>
          <w:trHeight w:val="109"/>
        </w:trPr>
        <w:tc>
          <w:tcPr>
            <w:tcW w:w="8385" w:type="dxa"/>
            <w:gridSpan w:val="2"/>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3683" w:rsidRDefault="002974EE">
            <w:pPr>
              <w:jc w:val="right"/>
              <w:rPr>
                <w:b/>
                <w:sz w:val="20"/>
                <w:szCs w:val="20"/>
              </w:rPr>
            </w:pPr>
            <w:r>
              <w:rPr>
                <w:sz w:val="20"/>
                <w:szCs w:val="20"/>
              </w:rPr>
              <w:t>TOTAL enrollment and productivity for all programs</w:t>
            </w:r>
          </w:p>
        </w:tc>
        <w:tc>
          <w:tcPr>
            <w:tcW w:w="2280" w:type="dxa"/>
            <w:tcBorders>
              <w:top w:val="single" w:sz="12"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147</w:t>
            </w:r>
          </w:p>
        </w:tc>
        <w:tc>
          <w:tcPr>
            <w:tcW w:w="2115" w:type="dxa"/>
            <w:tcBorders>
              <w:top w:val="single" w:sz="12"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116</w:t>
            </w:r>
          </w:p>
        </w:tc>
      </w:tr>
      <w:tr w:rsidR="00E53683">
        <w:trPr>
          <w:trHeight w:val="24"/>
        </w:trPr>
        <w:tc>
          <w:tcPr>
            <w:tcW w:w="83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53683" w:rsidRDefault="002974EE">
            <w:pPr>
              <w:jc w:val="right"/>
              <w:rPr>
                <w:b/>
                <w:sz w:val="20"/>
                <w:szCs w:val="20"/>
              </w:rPr>
            </w:pPr>
            <w:r>
              <w:rPr>
                <w:sz w:val="20"/>
                <w:szCs w:val="20"/>
              </w:rPr>
              <w:t>Unduplicated total of all program candidates and completers</w:t>
            </w:r>
          </w:p>
        </w:tc>
        <w:tc>
          <w:tcPr>
            <w:tcW w:w="2280"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126</w:t>
            </w:r>
          </w:p>
        </w:tc>
        <w:tc>
          <w:tcPr>
            <w:tcW w:w="2115" w:type="dxa"/>
            <w:tcBorders>
              <w:top w:val="single" w:sz="4" w:space="0" w:color="000000"/>
              <w:left w:val="single" w:sz="4" w:space="0" w:color="000000"/>
              <w:bottom w:val="single" w:sz="4" w:space="0" w:color="000000"/>
              <w:right w:val="single" w:sz="4" w:space="0" w:color="000000"/>
            </w:tcBorders>
            <w:shd w:val="clear" w:color="auto" w:fill="D0E0E3"/>
            <w:tcMar>
              <w:top w:w="80" w:type="dxa"/>
              <w:left w:w="80" w:type="dxa"/>
              <w:bottom w:w="80" w:type="dxa"/>
              <w:right w:w="80" w:type="dxa"/>
            </w:tcMar>
          </w:tcPr>
          <w:p w:rsidR="00E53683" w:rsidRDefault="002974EE">
            <w:pPr>
              <w:jc w:val="center"/>
              <w:rPr>
                <w:sz w:val="20"/>
                <w:szCs w:val="20"/>
              </w:rPr>
            </w:pPr>
            <w:r>
              <w:rPr>
                <w:sz w:val="20"/>
                <w:szCs w:val="20"/>
              </w:rPr>
              <w:t>104</w:t>
            </w:r>
          </w:p>
        </w:tc>
      </w:tr>
    </w:tbl>
    <w:p w:rsidR="00E53683" w:rsidRDefault="002974EE">
      <w:pPr>
        <w:spacing w:before="200" w:after="120" w:line="240" w:lineRule="auto"/>
        <w:rPr>
          <w:b/>
        </w:rPr>
      </w:pPr>
      <w:r>
        <w:rPr>
          <w:b/>
        </w:rPr>
        <w:t>Added or Discontinued Programs</w:t>
      </w:r>
    </w:p>
    <w:p w:rsidR="00E53683" w:rsidRDefault="002974EE">
      <w:pPr>
        <w:spacing w:after="200"/>
      </w:pPr>
      <w:r>
        <w:lastRenderedPageBreak/>
        <w:t>Any programs within the AAQEP review that have been added or discontinued within the past year are listed below. (This list is required only from providers with accredited programs.)</w:t>
      </w:r>
    </w:p>
    <w:tbl>
      <w:tblPr>
        <w:tblStyle w:val="afffc"/>
        <w:tblW w:w="129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961"/>
      </w:tblGrid>
      <w:tr w:rsidR="00E53683">
        <w:trPr>
          <w:trHeight w:val="21"/>
        </w:trPr>
        <w:tc>
          <w:tcPr>
            <w:tcW w:w="12961" w:type="dxa"/>
            <w:shd w:val="clear" w:color="auto" w:fill="D0E0E3"/>
            <w:tcMar>
              <w:top w:w="100" w:type="dxa"/>
              <w:left w:w="100" w:type="dxa"/>
              <w:bottom w:w="100" w:type="dxa"/>
              <w:right w:w="100" w:type="dxa"/>
            </w:tcMar>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AY 21-22, the College of Education added a Special Education Initial Teacher Licensure.  This is a </w:t>
            </w:r>
            <w:proofErr w:type="gramStart"/>
            <w:r>
              <w:rPr>
                <w:rFonts w:ascii="Times New Roman" w:eastAsia="Times New Roman" w:hAnsi="Times New Roman" w:cs="Times New Roman"/>
                <w:sz w:val="22"/>
                <w:szCs w:val="22"/>
              </w:rPr>
              <w:t>two year</w:t>
            </w:r>
            <w:proofErr w:type="gramEnd"/>
            <w:r>
              <w:rPr>
                <w:rFonts w:ascii="Times New Roman" w:eastAsia="Times New Roman" w:hAnsi="Times New Roman" w:cs="Times New Roman"/>
                <w:sz w:val="22"/>
                <w:szCs w:val="22"/>
              </w:rPr>
              <w:t xml:space="preserve"> program.  We will run a complete cohort (AY 21-23) before running a second cohort (AY 23-25).  This program will be included in our next AAQEP vi</w:t>
            </w:r>
            <w:r>
              <w:rPr>
                <w:rFonts w:ascii="Times New Roman" w:eastAsia="Times New Roman" w:hAnsi="Times New Roman" w:cs="Times New Roman"/>
                <w:sz w:val="22"/>
                <w:szCs w:val="22"/>
              </w:rPr>
              <w:t>sit.</w:t>
            </w:r>
          </w:p>
        </w:tc>
      </w:tr>
    </w:tbl>
    <w:p w:rsidR="00E53683" w:rsidRDefault="00E53683">
      <w:pPr>
        <w:spacing w:line="240" w:lineRule="auto"/>
        <w:rPr>
          <w:sz w:val="24"/>
          <w:szCs w:val="24"/>
        </w:rPr>
      </w:pPr>
    </w:p>
    <w:p w:rsidR="00E53683" w:rsidRDefault="002974EE">
      <w:pPr>
        <w:keepNext/>
        <w:numPr>
          <w:ilvl w:val="0"/>
          <w:numId w:val="10"/>
        </w:numPr>
        <w:spacing w:after="120"/>
        <w:ind w:left="360"/>
        <w:rPr>
          <w:b/>
        </w:rPr>
      </w:pPr>
      <w:r>
        <w:rPr>
          <w:b/>
          <w:sz w:val="28"/>
          <w:szCs w:val="28"/>
        </w:rPr>
        <w:t>Program Performance Indicators</w:t>
      </w:r>
    </w:p>
    <w:p w:rsidR="00E53683" w:rsidRDefault="002974EE">
      <w:pPr>
        <w:spacing w:after="200"/>
      </w:pPr>
      <w:r>
        <w:t>The program performance information in Table 2 applies to the academic year indicated in Table 1.</w:t>
      </w:r>
    </w:p>
    <w:p w:rsidR="00E53683" w:rsidRDefault="002974EE">
      <w:pPr>
        <w:keepNext/>
        <w:spacing w:after="120"/>
        <w:rPr>
          <w:b/>
        </w:rPr>
      </w:pPr>
      <w:r>
        <w:rPr>
          <w:b/>
        </w:rPr>
        <w:t>Table 2. Program Performance Indicators</w:t>
      </w:r>
    </w:p>
    <w:tbl>
      <w:tblPr>
        <w:tblStyle w:val="afffd"/>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60"/>
      </w:tblGrid>
      <w:tr w:rsidR="00E53683">
        <w:trPr>
          <w:trHeight w:val="420"/>
        </w:trPr>
        <w:tc>
          <w:tcPr>
            <w:tcW w:w="12960" w:type="dxa"/>
            <w:shd w:val="clear" w:color="auto" w:fill="FFFFFF"/>
          </w:tcPr>
          <w:p w:rsidR="00E53683" w:rsidRDefault="002974EE">
            <w:pPr>
              <w:keepNext/>
              <w:keepLines/>
              <w:ind w:left="245" w:hanging="245"/>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b/>
                <w:sz w:val="22"/>
                <w:szCs w:val="22"/>
              </w:rPr>
              <w:t>Total</w:t>
            </w:r>
            <w:r>
              <w:rPr>
                <w:rFonts w:ascii="Arial" w:eastAsia="Arial" w:hAnsi="Arial" w:cs="Arial"/>
                <w:sz w:val="22"/>
                <w:szCs w:val="22"/>
              </w:rPr>
              <w:t xml:space="preserve"> </w:t>
            </w:r>
            <w:r>
              <w:rPr>
                <w:rFonts w:ascii="Arial" w:eastAsia="Arial" w:hAnsi="Arial" w:cs="Arial"/>
                <w:b/>
                <w:sz w:val="22"/>
                <w:szCs w:val="22"/>
              </w:rPr>
              <w:t>enrollment</w:t>
            </w:r>
            <w:r>
              <w:rPr>
                <w:rFonts w:ascii="Arial" w:eastAsia="Arial" w:hAnsi="Arial" w:cs="Arial"/>
                <w:sz w:val="22"/>
                <w:szCs w:val="22"/>
              </w:rPr>
              <w:t xml:space="preserve"> in the educator preparation programs shown in Table 1. This figure is an unduplicated count, i.e., individuals earning more than one credential may be counted in more than one line above but only once here.</w:t>
            </w:r>
          </w:p>
        </w:tc>
      </w:tr>
      <w:tr w:rsidR="00E53683">
        <w:trPr>
          <w:trHeight w:val="25"/>
        </w:trPr>
        <w:tc>
          <w:tcPr>
            <w:tcW w:w="12960" w:type="dxa"/>
            <w:shd w:val="clear" w:color="auto" w:fill="D0E0E3"/>
          </w:tcPr>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230 candidates were enrolled during the AY 21-2</w:t>
            </w:r>
            <w:r>
              <w:rPr>
                <w:rFonts w:ascii="Times New Roman" w:eastAsia="Times New Roman" w:hAnsi="Times New Roman" w:cs="Times New Roman"/>
                <w:sz w:val="22"/>
                <w:szCs w:val="22"/>
              </w:rPr>
              <w:t>2.</w:t>
            </w:r>
          </w:p>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number includes those that were enrolled and completed, as our reporting year is Sept. 1-Aug 31.  Our UG is a </w:t>
            </w:r>
            <w:proofErr w:type="gramStart"/>
            <w:r>
              <w:rPr>
                <w:rFonts w:ascii="Times New Roman" w:eastAsia="Times New Roman" w:hAnsi="Times New Roman" w:cs="Times New Roman"/>
                <w:sz w:val="22"/>
                <w:szCs w:val="22"/>
              </w:rPr>
              <w:t>two year</w:t>
            </w:r>
            <w:proofErr w:type="gramEnd"/>
            <w:r>
              <w:rPr>
                <w:rFonts w:ascii="Times New Roman" w:eastAsia="Times New Roman" w:hAnsi="Times New Roman" w:cs="Times New Roman"/>
                <w:sz w:val="22"/>
                <w:szCs w:val="22"/>
              </w:rPr>
              <w:t xml:space="preserve"> cohort, so they are included as completers, not enrolled.  Same for our MAT Programs as they start before the enrollment date, bu</w:t>
            </w:r>
            <w:r>
              <w:rPr>
                <w:rFonts w:ascii="Times New Roman" w:eastAsia="Times New Roman" w:hAnsi="Times New Roman" w:cs="Times New Roman"/>
                <w:sz w:val="22"/>
                <w:szCs w:val="22"/>
              </w:rPr>
              <w:t xml:space="preserve">t end within the reporting year. </w:t>
            </w:r>
          </w:p>
        </w:tc>
      </w:tr>
      <w:tr w:rsidR="00E53683">
        <w:trPr>
          <w:trHeight w:val="420"/>
        </w:trPr>
        <w:tc>
          <w:tcPr>
            <w:tcW w:w="12960" w:type="dxa"/>
            <w:shd w:val="clear" w:color="auto" w:fill="FFFFFF"/>
          </w:tcPr>
          <w:p w:rsidR="00E53683" w:rsidRDefault="002974EE">
            <w:pPr>
              <w:keepNext/>
              <w:ind w:left="245" w:hanging="245"/>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b/>
                <w:sz w:val="22"/>
                <w:szCs w:val="22"/>
              </w:rPr>
              <w:t xml:space="preserve">Total number of unique completers </w:t>
            </w:r>
            <w:r>
              <w:rPr>
                <w:rFonts w:ascii="Arial" w:eastAsia="Arial" w:hAnsi="Arial" w:cs="Arial"/>
                <w:sz w:val="22"/>
                <w:szCs w:val="22"/>
              </w:rPr>
              <w:t>(across all programs) included in Table 1. This figure is an unduplicated count, i.e., individuals who earned more than one credential may be counted in more than one line above but only once here.</w:t>
            </w:r>
          </w:p>
        </w:tc>
      </w:tr>
      <w:tr w:rsidR="00E53683">
        <w:trPr>
          <w:trHeight w:val="21"/>
        </w:trPr>
        <w:tc>
          <w:tcPr>
            <w:tcW w:w="12960" w:type="dxa"/>
            <w:shd w:val="clear" w:color="auto" w:fill="D0E0E3"/>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104 unique completers</w:t>
            </w:r>
          </w:p>
        </w:tc>
      </w:tr>
      <w:tr w:rsidR="00E53683">
        <w:trPr>
          <w:trHeight w:val="21"/>
        </w:trPr>
        <w:tc>
          <w:tcPr>
            <w:tcW w:w="12960" w:type="dxa"/>
            <w:shd w:val="clear" w:color="auto" w:fill="FFFFFF"/>
          </w:tcPr>
          <w:p w:rsidR="00E53683" w:rsidRDefault="002974EE">
            <w:pPr>
              <w:keepNext/>
              <w:ind w:left="245" w:hanging="245"/>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b/>
                <w:sz w:val="22"/>
                <w:szCs w:val="22"/>
              </w:rPr>
              <w:t xml:space="preserve">Number of recommendations </w:t>
            </w:r>
            <w:r>
              <w:rPr>
                <w:rFonts w:ascii="Arial" w:eastAsia="Arial" w:hAnsi="Arial" w:cs="Arial"/>
                <w:sz w:val="22"/>
                <w:szCs w:val="22"/>
              </w:rPr>
              <w:t>for certificate, license, or endorsement included in Table 1.</w:t>
            </w:r>
          </w:p>
        </w:tc>
      </w:tr>
      <w:tr w:rsidR="00E53683">
        <w:trPr>
          <w:trHeight w:val="21"/>
        </w:trPr>
        <w:tc>
          <w:tcPr>
            <w:tcW w:w="12960" w:type="dxa"/>
            <w:shd w:val="clear" w:color="auto" w:fill="D0E0E3"/>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104 candidates were recommended for preliminary license in the undergraduate and graduate programs.</w:t>
            </w:r>
          </w:p>
        </w:tc>
      </w:tr>
      <w:tr w:rsidR="00E53683">
        <w:trPr>
          <w:trHeight w:val="420"/>
        </w:trPr>
        <w:tc>
          <w:tcPr>
            <w:tcW w:w="12960" w:type="dxa"/>
            <w:shd w:val="clear" w:color="auto" w:fill="FFFFFF"/>
          </w:tcPr>
          <w:p w:rsidR="00E53683" w:rsidRDefault="002974EE">
            <w:pPr>
              <w:keepNext/>
              <w:ind w:left="245" w:hanging="245"/>
              <w:rPr>
                <w:rFonts w:ascii="Arial" w:eastAsia="Arial" w:hAnsi="Arial" w:cs="Arial"/>
                <w:sz w:val="22"/>
                <w:szCs w:val="22"/>
              </w:rPr>
            </w:pPr>
            <w:r>
              <w:rPr>
                <w:rFonts w:ascii="Arial" w:eastAsia="Arial" w:hAnsi="Arial" w:cs="Arial"/>
                <w:sz w:val="22"/>
                <w:szCs w:val="22"/>
              </w:rPr>
              <w:t xml:space="preserve">D. </w:t>
            </w:r>
            <w:r>
              <w:rPr>
                <w:rFonts w:ascii="Arial" w:eastAsia="Arial" w:hAnsi="Arial" w:cs="Arial"/>
                <w:b/>
                <w:sz w:val="22"/>
                <w:szCs w:val="22"/>
              </w:rPr>
              <w:t>Cohort completion rates</w:t>
            </w:r>
            <w:r>
              <w:rPr>
                <w:rFonts w:ascii="Arial" w:eastAsia="Arial" w:hAnsi="Arial" w:cs="Arial"/>
                <w:sz w:val="22"/>
                <w:szCs w:val="22"/>
              </w:rPr>
              <w:t xml:space="preserve"> for candidates who completed the various programs within their re</w:t>
            </w:r>
            <w:r>
              <w:rPr>
                <w:rFonts w:ascii="Arial" w:eastAsia="Arial" w:hAnsi="Arial" w:cs="Arial"/>
                <w:sz w:val="22"/>
                <w:szCs w:val="22"/>
              </w:rPr>
              <w:t xml:space="preserve">spective program’s expected timeframe </w:t>
            </w:r>
            <w:r>
              <w:rPr>
                <w:rFonts w:ascii="Arial" w:eastAsia="Arial" w:hAnsi="Arial" w:cs="Arial"/>
                <w:b/>
                <w:sz w:val="22"/>
                <w:szCs w:val="22"/>
              </w:rPr>
              <w:t>and</w:t>
            </w:r>
            <w:r>
              <w:rPr>
                <w:rFonts w:ascii="Arial" w:eastAsia="Arial" w:hAnsi="Arial" w:cs="Arial"/>
                <w:sz w:val="22"/>
                <w:szCs w:val="22"/>
              </w:rPr>
              <w:t xml:space="preserve"> in 1.5 times the expected timeframe.</w:t>
            </w:r>
          </w:p>
        </w:tc>
      </w:tr>
      <w:tr w:rsidR="00E53683">
        <w:trPr>
          <w:trHeight w:val="21"/>
        </w:trPr>
        <w:tc>
          <w:tcPr>
            <w:tcW w:w="12960" w:type="dxa"/>
            <w:shd w:val="clear" w:color="auto" w:fill="D0E0E3"/>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AY 21-22:</w:t>
            </w: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UG Elementary - 92% at the end of their program; 97% completed at 1.5 times the expected timeframe. </w:t>
            </w: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UG Special Education - no data to present </w:t>
            </w: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MAT Elementary - 92% completed at the end of their program; 96% completed at 1.5 times the expected timeframe. </w:t>
            </w: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MAT Secondary - 73% completed at the end of their program; 92% completed at 1.5 times the expected timeframe.</w:t>
            </w:r>
          </w:p>
        </w:tc>
      </w:tr>
      <w:tr w:rsidR="00E53683">
        <w:trPr>
          <w:trHeight w:val="420"/>
        </w:trPr>
        <w:tc>
          <w:tcPr>
            <w:tcW w:w="12960" w:type="dxa"/>
            <w:shd w:val="clear" w:color="auto" w:fill="FFFFFF"/>
          </w:tcPr>
          <w:p w:rsidR="00E53683" w:rsidRDefault="002974EE">
            <w:pPr>
              <w:keepNext/>
              <w:ind w:left="245" w:hanging="245"/>
              <w:rPr>
                <w:rFonts w:ascii="Arial" w:eastAsia="Arial" w:hAnsi="Arial" w:cs="Arial"/>
                <w:sz w:val="22"/>
                <w:szCs w:val="22"/>
              </w:rPr>
            </w:pPr>
            <w:r>
              <w:rPr>
                <w:rFonts w:ascii="Arial" w:eastAsia="Arial" w:hAnsi="Arial" w:cs="Arial"/>
                <w:sz w:val="22"/>
                <w:szCs w:val="22"/>
              </w:rPr>
              <w:lastRenderedPageBreak/>
              <w:t xml:space="preserve">E. </w:t>
            </w:r>
            <w:r>
              <w:rPr>
                <w:rFonts w:ascii="Arial" w:eastAsia="Arial" w:hAnsi="Arial" w:cs="Arial"/>
                <w:b/>
                <w:sz w:val="22"/>
                <w:szCs w:val="22"/>
              </w:rPr>
              <w:t>Summary of state license exami</w:t>
            </w:r>
            <w:r>
              <w:rPr>
                <w:rFonts w:ascii="Arial" w:eastAsia="Arial" w:hAnsi="Arial" w:cs="Arial"/>
                <w:b/>
                <w:sz w:val="22"/>
                <w:szCs w:val="22"/>
              </w:rPr>
              <w:t>nation results</w:t>
            </w:r>
            <w:r>
              <w:rPr>
                <w:rFonts w:ascii="Arial" w:eastAsia="Arial" w:hAnsi="Arial" w:cs="Arial"/>
                <w:sz w:val="22"/>
                <w:szCs w:val="22"/>
              </w:rPr>
              <w:t>, including teacher performance assessments, and specification of any examinations on which the pass rate (cumulative at time of reporting) was below 80%.</w:t>
            </w:r>
          </w:p>
        </w:tc>
      </w:tr>
      <w:tr w:rsidR="00E53683">
        <w:trPr>
          <w:trHeight w:val="21"/>
        </w:trPr>
        <w:tc>
          <w:tcPr>
            <w:tcW w:w="12960" w:type="dxa"/>
            <w:shd w:val="clear" w:color="auto" w:fill="D0E0E3"/>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Oregon, we have two state license examination requirements, content tests and the </w:t>
            </w:r>
            <w:proofErr w:type="spellStart"/>
            <w:r>
              <w:rPr>
                <w:rFonts w:ascii="Times New Roman" w:eastAsia="Times New Roman" w:hAnsi="Times New Roman" w:cs="Times New Roman"/>
                <w:sz w:val="22"/>
                <w:szCs w:val="22"/>
              </w:rPr>
              <w:t>edTPA</w:t>
            </w:r>
            <w:proofErr w:type="spellEnd"/>
            <w:r>
              <w:rPr>
                <w:rFonts w:ascii="Times New Roman" w:eastAsia="Times New Roman" w:hAnsi="Times New Roman" w:cs="Times New Roman"/>
                <w:sz w:val="22"/>
                <w:szCs w:val="22"/>
              </w:rPr>
              <w:t xml:space="preserve">.  </w:t>
            </w:r>
          </w:p>
          <w:p w:rsidR="00E53683" w:rsidRDefault="00E53683">
            <w:pPr>
              <w:rPr>
                <w:rFonts w:ascii="Times New Roman" w:eastAsia="Times New Roman" w:hAnsi="Times New Roman" w:cs="Times New Roman"/>
                <w:sz w:val="22"/>
                <w:szCs w:val="22"/>
              </w:rPr>
            </w:pP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following data is pulled from July 2021-June2022.  </w:t>
            </w:r>
            <w:proofErr w:type="spellStart"/>
            <w:r>
              <w:rPr>
                <w:rFonts w:ascii="Times New Roman" w:eastAsia="Times New Roman" w:hAnsi="Times New Roman" w:cs="Times New Roman"/>
                <w:sz w:val="22"/>
                <w:szCs w:val="22"/>
              </w:rPr>
              <w:t>EdTPA</w:t>
            </w:r>
            <w:proofErr w:type="spellEnd"/>
            <w:r>
              <w:rPr>
                <w:rFonts w:ascii="Times New Roman" w:eastAsia="Times New Roman" w:hAnsi="Times New Roman" w:cs="Times New Roman"/>
                <w:sz w:val="22"/>
                <w:szCs w:val="22"/>
              </w:rPr>
              <w:t xml:space="preserve"> Elementary Education: Literacy with Mathematics Task 4 or Early Childhood is required to be passed by all Oregon Multiple subject candidates.  For the AY 21-22 cohorts, EOU’s pass rate on the </w:t>
            </w:r>
            <w:r>
              <w:rPr>
                <w:rFonts w:ascii="Times New Roman" w:eastAsia="Times New Roman" w:hAnsi="Times New Roman" w:cs="Times New Roman"/>
                <w:b/>
                <w:i/>
                <w:sz w:val="22"/>
                <w:szCs w:val="22"/>
              </w:rPr>
              <w:t>fir</w:t>
            </w:r>
            <w:r>
              <w:rPr>
                <w:rFonts w:ascii="Times New Roman" w:eastAsia="Times New Roman" w:hAnsi="Times New Roman" w:cs="Times New Roman"/>
                <w:b/>
                <w:i/>
                <w:sz w:val="22"/>
                <w:szCs w:val="22"/>
              </w:rPr>
              <w:t>st attempt</w:t>
            </w:r>
            <w:r>
              <w:rPr>
                <w:rFonts w:ascii="Times New Roman" w:eastAsia="Times New Roman" w:hAnsi="Times New Roman" w:cs="Times New Roman"/>
                <w:sz w:val="22"/>
                <w:szCs w:val="22"/>
              </w:rPr>
              <w:t xml:space="preserve"> for the Early Childhood </w:t>
            </w:r>
            <w:proofErr w:type="spellStart"/>
            <w:r>
              <w:rPr>
                <w:rFonts w:ascii="Times New Roman" w:eastAsia="Times New Roman" w:hAnsi="Times New Roman" w:cs="Times New Roman"/>
                <w:sz w:val="22"/>
                <w:szCs w:val="22"/>
              </w:rPr>
              <w:t>edTPA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wass</w:t>
            </w:r>
            <w:proofErr w:type="spellEnd"/>
            <w:r>
              <w:rPr>
                <w:rFonts w:ascii="Times New Roman" w:eastAsia="Times New Roman" w:hAnsi="Times New Roman" w:cs="Times New Roman"/>
                <w:sz w:val="22"/>
                <w:szCs w:val="22"/>
              </w:rPr>
              <w:t xml:space="preserve"> 100%, while that state average was 95%.  For Elementary Education: Literacy with </w:t>
            </w:r>
            <w:proofErr w:type="spellStart"/>
            <w:r>
              <w:rPr>
                <w:rFonts w:ascii="Times New Roman" w:eastAsia="Times New Roman" w:hAnsi="Times New Roman" w:cs="Times New Roman"/>
                <w:sz w:val="22"/>
                <w:szCs w:val="22"/>
              </w:rPr>
              <w:t>MAthematics</w:t>
            </w:r>
            <w:proofErr w:type="spellEnd"/>
            <w:r>
              <w:rPr>
                <w:rFonts w:ascii="Times New Roman" w:eastAsia="Times New Roman" w:hAnsi="Times New Roman" w:cs="Times New Roman"/>
                <w:sz w:val="22"/>
                <w:szCs w:val="22"/>
              </w:rPr>
              <w:t xml:space="preserve"> Task 4, EOU’s pass rate on the </w:t>
            </w:r>
            <w:r>
              <w:rPr>
                <w:rFonts w:ascii="Times New Roman" w:eastAsia="Times New Roman" w:hAnsi="Times New Roman" w:cs="Times New Roman"/>
                <w:b/>
                <w:i/>
                <w:sz w:val="22"/>
                <w:szCs w:val="22"/>
              </w:rPr>
              <w:t xml:space="preserve">first attempt </w:t>
            </w:r>
            <w:r>
              <w:rPr>
                <w:rFonts w:ascii="Times New Roman" w:eastAsia="Times New Roman" w:hAnsi="Times New Roman" w:cs="Times New Roman"/>
                <w:sz w:val="22"/>
                <w:szCs w:val="22"/>
              </w:rPr>
              <w:t>was 98%, while the state average was 95%.  For the Secondary program, ca</w:t>
            </w:r>
            <w:r>
              <w:rPr>
                <w:rFonts w:ascii="Times New Roman" w:eastAsia="Times New Roman" w:hAnsi="Times New Roman" w:cs="Times New Roman"/>
                <w:sz w:val="22"/>
                <w:szCs w:val="22"/>
              </w:rPr>
              <w:t>ndidates are required to complete the EDTPA in their content area; this leads to low n for individual content area reporting purposes.  Overall, 80% of secondary candidates passed on the first attempt.  The secondary cohort had an overall pass rate of 92.5</w:t>
            </w:r>
            <w:r>
              <w:rPr>
                <w:rFonts w:ascii="Times New Roman" w:eastAsia="Times New Roman" w:hAnsi="Times New Roman" w:cs="Times New Roman"/>
                <w:sz w:val="22"/>
                <w:szCs w:val="22"/>
              </w:rPr>
              <w:t xml:space="preserve">%. </w:t>
            </w:r>
          </w:p>
          <w:p w:rsidR="00E53683" w:rsidRDefault="00E53683">
            <w:pPr>
              <w:rPr>
                <w:rFonts w:ascii="Times New Roman" w:eastAsia="Times New Roman" w:hAnsi="Times New Roman" w:cs="Times New Roman"/>
                <w:sz w:val="22"/>
                <w:szCs w:val="22"/>
              </w:rPr>
            </w:pP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Content tests: </w:t>
            </w: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EOU had a total of 209 test takers report their scores for AY 21-22.  EOU had a 78% pass rate, while the state had an 84% pass rate.</w:t>
            </w:r>
          </w:p>
          <w:p w:rsidR="00E53683" w:rsidRDefault="00E53683">
            <w:pPr>
              <w:rPr>
                <w:rFonts w:ascii="Times New Roman" w:eastAsia="Times New Roman" w:hAnsi="Times New Roman" w:cs="Times New Roman"/>
                <w:sz w:val="22"/>
                <w:szCs w:val="22"/>
              </w:rPr>
            </w:pP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Oregon Teacher Standards and Practices Commission (TSPC) has adopted multiple measures as a way for c</w:t>
            </w:r>
            <w:r>
              <w:rPr>
                <w:rFonts w:ascii="Times New Roman" w:eastAsia="Times New Roman" w:hAnsi="Times New Roman" w:cs="Times New Roman"/>
                <w:sz w:val="22"/>
                <w:szCs w:val="22"/>
              </w:rPr>
              <w:t xml:space="preserve">andidates to demonstrate their content knowledge. The rationale includes: </w:t>
            </w:r>
          </w:p>
          <w:p w:rsidR="00E53683" w:rsidRDefault="002974EE">
            <w:pPr>
              <w:ind w:left="720"/>
              <w:rPr>
                <w:rFonts w:ascii="Times New Roman" w:eastAsia="Times New Roman" w:hAnsi="Times New Roman" w:cs="Times New Roman"/>
                <w:sz w:val="22"/>
                <w:szCs w:val="22"/>
              </w:rPr>
            </w:pPr>
            <w:sdt>
              <w:sdtPr>
                <w:tag w:val="goog_rdk_0"/>
                <w:id w:val="-37978545"/>
              </w:sdtPr>
              <w:sdtEndPr/>
              <w:sdtConten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Utilizing multiple measures in assessment is a strengths-based approach that will allow candidates to demonstrate the knowledge and skills required to be effective in the classroo</w:t>
                </w:r>
                <w:r>
                  <w:rPr>
                    <w:rFonts w:ascii="Arial Unicode MS" w:eastAsia="Arial Unicode MS" w:hAnsi="Arial Unicode MS" w:cs="Arial Unicode MS"/>
                    <w:sz w:val="22"/>
                    <w:szCs w:val="22"/>
                  </w:rPr>
                  <w:t xml:space="preserve">m. </w:t>
                </w:r>
              </w:sdtContent>
            </w:sdt>
          </w:p>
          <w:p w:rsidR="00E53683" w:rsidRDefault="002974EE">
            <w:pPr>
              <w:ind w:left="720"/>
              <w:rPr>
                <w:rFonts w:ascii="Times New Roman" w:eastAsia="Times New Roman" w:hAnsi="Times New Roman" w:cs="Times New Roman"/>
                <w:sz w:val="22"/>
                <w:szCs w:val="22"/>
              </w:rPr>
            </w:pPr>
            <w:sdt>
              <w:sdtPr>
                <w:tag w:val="goog_rdk_1"/>
                <w:id w:val="184495479"/>
              </w:sdtPr>
              <w:sdtEndPr/>
              <w:sdtConten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Utilizing multiple measures as an assessment policy supports efforts to diversify the teaching profession and helps provide all students with the teachers they need to learn and be successful. </w:t>
                </w:r>
              </w:sdtContent>
            </w:sdt>
          </w:p>
          <w:p w:rsidR="00E53683" w:rsidRDefault="002974EE">
            <w:pPr>
              <w:ind w:left="720"/>
              <w:rPr>
                <w:rFonts w:ascii="Times New Roman" w:eastAsia="Times New Roman" w:hAnsi="Times New Roman" w:cs="Times New Roman"/>
                <w:sz w:val="22"/>
                <w:szCs w:val="22"/>
              </w:rPr>
            </w:pPr>
            <w:sdt>
              <w:sdtPr>
                <w:tag w:val="goog_rdk_2"/>
                <w:id w:val="2117479416"/>
              </w:sdtPr>
              <w:sdtEndPr/>
              <w:sdtConten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A multiple measures approach models for teacher ca</w:t>
                </w:r>
                <w:r>
                  <w:rPr>
                    <w:rFonts w:ascii="Arial Unicode MS" w:eastAsia="Arial Unicode MS" w:hAnsi="Arial Unicode MS" w:cs="Arial Unicode MS"/>
                    <w:sz w:val="22"/>
                    <w:szCs w:val="22"/>
                  </w:rPr>
                  <w:t>ndidates an approach to assessment that will be applicable in their practice.</w:t>
                </w:r>
              </w:sdtContent>
            </w:sdt>
          </w:p>
          <w:p w:rsidR="00E53683" w:rsidRDefault="00E53683">
            <w:pPr>
              <w:ind w:left="720"/>
              <w:rPr>
                <w:rFonts w:ascii="Times New Roman" w:eastAsia="Times New Roman" w:hAnsi="Times New Roman" w:cs="Times New Roman"/>
                <w:sz w:val="22"/>
                <w:szCs w:val="22"/>
              </w:rPr>
            </w:pP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EOU requires that all candidates attempt the content exams.  In cases where the exam is not passed, EOU will explore multiple measures for candidates.  For AY 21-22, EOU utili</w:t>
            </w:r>
            <w:r>
              <w:rPr>
                <w:rFonts w:ascii="Times New Roman" w:eastAsia="Times New Roman" w:hAnsi="Times New Roman" w:cs="Times New Roman"/>
                <w:sz w:val="22"/>
                <w:szCs w:val="22"/>
              </w:rPr>
              <w:t xml:space="preserve">zed multiple measures for elementary education candidates eight times. </w:t>
            </w: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c>
      </w:tr>
      <w:tr w:rsidR="00E53683">
        <w:trPr>
          <w:trHeight w:val="79"/>
        </w:trPr>
        <w:tc>
          <w:tcPr>
            <w:tcW w:w="12960" w:type="dxa"/>
            <w:shd w:val="clear" w:color="auto" w:fill="FFFFFF"/>
          </w:tcPr>
          <w:p w:rsidR="00E53683" w:rsidRDefault="002974EE">
            <w:pPr>
              <w:keepNext/>
              <w:ind w:left="245" w:hanging="245"/>
              <w:rPr>
                <w:rFonts w:ascii="Arial" w:eastAsia="Arial" w:hAnsi="Arial" w:cs="Arial"/>
                <w:sz w:val="22"/>
                <w:szCs w:val="22"/>
              </w:rPr>
            </w:pPr>
            <w:r>
              <w:rPr>
                <w:rFonts w:ascii="Arial" w:eastAsia="Arial" w:hAnsi="Arial" w:cs="Arial"/>
                <w:sz w:val="22"/>
                <w:szCs w:val="22"/>
              </w:rPr>
              <w:t>F. Narrative explanation of</w:t>
            </w:r>
            <w:r>
              <w:rPr>
                <w:rFonts w:ascii="Arial" w:eastAsia="Arial" w:hAnsi="Arial" w:cs="Arial"/>
                <w:b/>
                <w:sz w:val="22"/>
                <w:szCs w:val="22"/>
              </w:rPr>
              <w:t xml:space="preserve"> evidence available from program completers</w:t>
            </w:r>
            <w:r>
              <w:rPr>
                <w:rFonts w:ascii="Arial" w:eastAsia="Arial" w:hAnsi="Arial" w:cs="Arial"/>
                <w:sz w:val="22"/>
                <w:szCs w:val="22"/>
              </w:rPr>
              <w:t xml:space="preserve">, with a characterization of findings. </w:t>
            </w:r>
          </w:p>
        </w:tc>
      </w:tr>
      <w:tr w:rsidR="00E53683">
        <w:trPr>
          <w:trHeight w:val="21"/>
        </w:trPr>
        <w:tc>
          <w:tcPr>
            <w:tcW w:w="12960" w:type="dxa"/>
            <w:shd w:val="clear" w:color="auto" w:fill="D0E0E3"/>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EOU is part of the Oregon Association of Colleges for Teacher Education (OACTE).  OACTE contracts with a local firm to conduct the program completer survey for all participating EPPs.  EOU receives this report in the spring of 23 for AY 21-22.  </w:t>
            </w:r>
          </w:p>
          <w:p w:rsidR="00E53683" w:rsidRDefault="00E53683">
            <w:pPr>
              <w:rPr>
                <w:rFonts w:ascii="Times New Roman" w:eastAsia="Times New Roman" w:hAnsi="Times New Roman" w:cs="Times New Roman"/>
                <w:sz w:val="22"/>
                <w:szCs w:val="22"/>
              </w:rPr>
            </w:pPr>
          </w:p>
          <w:p w:rsidR="00E53683" w:rsidRDefault="002974EE">
            <w:pPr>
              <w:rPr>
                <w:rFonts w:ascii="Times New Roman" w:eastAsia="Times New Roman" w:hAnsi="Times New Roman" w:cs="Times New Roman"/>
                <w:sz w:val="21"/>
                <w:szCs w:val="21"/>
              </w:rPr>
            </w:pPr>
            <w:r>
              <w:rPr>
                <w:rFonts w:ascii="Times New Roman" w:eastAsia="Times New Roman" w:hAnsi="Times New Roman" w:cs="Times New Roman"/>
                <w:sz w:val="22"/>
                <w:szCs w:val="22"/>
              </w:rPr>
              <w:t>I</w:t>
            </w:r>
            <w:r>
              <w:rPr>
                <w:rFonts w:ascii="Times New Roman" w:eastAsia="Times New Roman" w:hAnsi="Times New Roman" w:cs="Times New Roman"/>
                <w:sz w:val="21"/>
                <w:szCs w:val="21"/>
              </w:rPr>
              <w:t>n analys</w:t>
            </w:r>
            <w:r>
              <w:rPr>
                <w:rFonts w:ascii="Times New Roman" w:eastAsia="Times New Roman" w:hAnsi="Times New Roman" w:cs="Times New Roman"/>
                <w:sz w:val="21"/>
                <w:szCs w:val="21"/>
              </w:rPr>
              <w:t xml:space="preserve">is of our 20-21 results, we had 15 candidates respond to the survey. Of the respondents, 87%, (13) were hired as </w:t>
            </w:r>
            <w:proofErr w:type="gramStart"/>
            <w:r>
              <w:rPr>
                <w:rFonts w:ascii="Times New Roman" w:eastAsia="Times New Roman" w:hAnsi="Times New Roman" w:cs="Times New Roman"/>
                <w:sz w:val="21"/>
                <w:szCs w:val="21"/>
              </w:rPr>
              <w:t>full time</w:t>
            </w:r>
            <w:proofErr w:type="gramEnd"/>
            <w:r>
              <w:rPr>
                <w:rFonts w:ascii="Times New Roman" w:eastAsia="Times New Roman" w:hAnsi="Times New Roman" w:cs="Times New Roman"/>
                <w:sz w:val="21"/>
                <w:szCs w:val="21"/>
              </w:rPr>
              <w:t xml:space="preserve"> teachers when they were completing the survey.  Of the respondents 10 completed in 2019 and 5 completed in 2020.  The survey was on a</w:t>
            </w:r>
            <w:r>
              <w:rPr>
                <w:rFonts w:ascii="Times New Roman" w:eastAsia="Times New Roman" w:hAnsi="Times New Roman" w:cs="Times New Roman"/>
                <w:sz w:val="21"/>
                <w:szCs w:val="21"/>
              </w:rPr>
              <w:t xml:space="preserve"> </w:t>
            </w:r>
            <w:proofErr w:type="gramStart"/>
            <w:r>
              <w:rPr>
                <w:rFonts w:ascii="Times New Roman" w:eastAsia="Times New Roman" w:hAnsi="Times New Roman" w:cs="Times New Roman"/>
                <w:sz w:val="21"/>
                <w:szCs w:val="21"/>
              </w:rPr>
              <w:t>1-10 point</w:t>
            </w:r>
            <w:proofErr w:type="gramEnd"/>
            <w:r>
              <w:rPr>
                <w:rFonts w:ascii="Times New Roman" w:eastAsia="Times New Roman" w:hAnsi="Times New Roman" w:cs="Times New Roman"/>
                <w:sz w:val="21"/>
                <w:szCs w:val="21"/>
              </w:rPr>
              <w:t xml:space="preserve"> scale. In regards to learners and learning, the area of highest satisfaction was in Providing students equitable opportunities to learn by treating them as individuals (7.7).  The area of lowest satisfaction was Incorporate language development</w:t>
            </w:r>
            <w:r>
              <w:rPr>
                <w:rFonts w:ascii="Times New Roman" w:eastAsia="Times New Roman" w:hAnsi="Times New Roman" w:cs="Times New Roman"/>
                <w:sz w:val="21"/>
                <w:szCs w:val="21"/>
              </w:rPr>
              <w:t xml:space="preserve"> strategies to make content accessible to English Language Learners (6.4).  For </w:t>
            </w:r>
            <w:r>
              <w:rPr>
                <w:rFonts w:ascii="Times New Roman" w:eastAsia="Times New Roman" w:hAnsi="Times New Roman" w:cs="Times New Roman"/>
                <w:sz w:val="21"/>
                <w:szCs w:val="21"/>
              </w:rPr>
              <w:lastRenderedPageBreak/>
              <w:t xml:space="preserve">Content knowledge, the area of highest satisfaction was Develop activities in which learners work together to solve problems (7.3).  The area of lowest satisfaction was Assist </w:t>
            </w:r>
            <w:r>
              <w:rPr>
                <w:rFonts w:ascii="Times New Roman" w:eastAsia="Times New Roman" w:hAnsi="Times New Roman" w:cs="Times New Roman"/>
                <w:sz w:val="21"/>
                <w:szCs w:val="21"/>
              </w:rPr>
              <w:t xml:space="preserve">students in analyzing subject-specific concepts from multiple perspectives (6.5).  For instructional practice, the area of highest satisfaction </w:t>
            </w:r>
            <w:proofErr w:type="gramStart"/>
            <w:r>
              <w:rPr>
                <w:rFonts w:ascii="Times New Roman" w:eastAsia="Times New Roman" w:hAnsi="Times New Roman" w:cs="Times New Roman"/>
                <w:sz w:val="21"/>
                <w:szCs w:val="21"/>
              </w:rPr>
              <w:t>were</w:t>
            </w:r>
            <w:proofErr w:type="gramEnd"/>
            <w:r>
              <w:rPr>
                <w:rFonts w:ascii="Times New Roman" w:eastAsia="Times New Roman" w:hAnsi="Times New Roman" w:cs="Times New Roman"/>
                <w:sz w:val="21"/>
                <w:szCs w:val="21"/>
              </w:rPr>
              <w:t xml:space="preserve"> Conduct a variety of standards-based formative and summative assessments (7.9) and Use technology to enhanc</w:t>
            </w:r>
            <w:r>
              <w:rPr>
                <w:rFonts w:ascii="Times New Roman" w:eastAsia="Times New Roman" w:hAnsi="Times New Roman" w:cs="Times New Roman"/>
                <w:sz w:val="21"/>
                <w:szCs w:val="21"/>
              </w:rPr>
              <w:t>e instruction (7.9).  The area of lowest satisfaction was Deliver research-based, interdisciplinary instruction (6.5).  For Professional Responsibility,  the area of highest satisfaction was Demonstrate respect for learners and families, even when they are</w:t>
            </w:r>
            <w:r>
              <w:rPr>
                <w:rFonts w:ascii="Times New Roman" w:eastAsia="Times New Roman" w:hAnsi="Times New Roman" w:cs="Times New Roman"/>
                <w:sz w:val="21"/>
                <w:szCs w:val="21"/>
              </w:rPr>
              <w:t xml:space="preserve"> not in your presence (7.9).  The area of lowest satisfaction Develop connections to community resources (5.9).</w:t>
            </w:r>
          </w:p>
        </w:tc>
      </w:tr>
      <w:tr w:rsidR="00E53683">
        <w:trPr>
          <w:trHeight w:val="160"/>
        </w:trPr>
        <w:tc>
          <w:tcPr>
            <w:tcW w:w="12960" w:type="dxa"/>
            <w:shd w:val="clear" w:color="auto" w:fill="FFFFFF"/>
          </w:tcPr>
          <w:p w:rsidR="00E53683" w:rsidRDefault="002974EE">
            <w:pPr>
              <w:keepNext/>
              <w:ind w:left="245" w:hanging="245"/>
              <w:rPr>
                <w:rFonts w:ascii="Arial" w:eastAsia="Arial" w:hAnsi="Arial" w:cs="Arial"/>
                <w:sz w:val="22"/>
                <w:szCs w:val="22"/>
              </w:rPr>
            </w:pPr>
            <w:r>
              <w:rPr>
                <w:rFonts w:ascii="Arial" w:eastAsia="Arial" w:hAnsi="Arial" w:cs="Arial"/>
                <w:sz w:val="22"/>
                <w:szCs w:val="22"/>
              </w:rPr>
              <w:lastRenderedPageBreak/>
              <w:t xml:space="preserve">G. Narrative explanation of </w:t>
            </w:r>
            <w:r>
              <w:rPr>
                <w:rFonts w:ascii="Arial" w:eastAsia="Arial" w:hAnsi="Arial" w:cs="Arial"/>
                <w:b/>
                <w:sz w:val="22"/>
                <w:szCs w:val="22"/>
              </w:rPr>
              <w:t>evidence available from employers of program completers</w:t>
            </w:r>
            <w:r>
              <w:rPr>
                <w:rFonts w:ascii="Arial" w:eastAsia="Arial" w:hAnsi="Arial" w:cs="Arial"/>
                <w:sz w:val="22"/>
                <w:szCs w:val="22"/>
              </w:rPr>
              <w:t xml:space="preserve">, with a characterization of findings. </w:t>
            </w:r>
          </w:p>
        </w:tc>
      </w:tr>
      <w:tr w:rsidR="00E53683">
        <w:trPr>
          <w:trHeight w:val="21"/>
        </w:trPr>
        <w:tc>
          <w:tcPr>
            <w:tcW w:w="12960" w:type="dxa"/>
            <w:shd w:val="clear" w:color="auto" w:fill="D0E0E3"/>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EOU is part of the Oregon Association of Colleges for Teacher Education (OACTE).  OACTE contracts with a local firm to conduct the employer survey for all participating EPPs.  EOU is waiting for the results from the contracted firm. </w:t>
            </w:r>
          </w:p>
        </w:tc>
      </w:tr>
      <w:tr w:rsidR="00E53683">
        <w:trPr>
          <w:trHeight w:val="21"/>
        </w:trPr>
        <w:tc>
          <w:tcPr>
            <w:tcW w:w="12960" w:type="dxa"/>
            <w:shd w:val="clear" w:color="auto" w:fill="FFFFFF"/>
          </w:tcPr>
          <w:p w:rsidR="00E53683" w:rsidRDefault="002974EE">
            <w:pPr>
              <w:keepNext/>
              <w:ind w:left="245" w:hanging="245"/>
              <w:rPr>
                <w:rFonts w:ascii="Arial" w:eastAsia="Arial" w:hAnsi="Arial" w:cs="Arial"/>
                <w:sz w:val="22"/>
                <w:szCs w:val="22"/>
              </w:rPr>
            </w:pPr>
            <w:r>
              <w:rPr>
                <w:rFonts w:ascii="Arial" w:eastAsia="Arial" w:hAnsi="Arial" w:cs="Arial"/>
                <w:sz w:val="22"/>
                <w:szCs w:val="22"/>
              </w:rPr>
              <w:t>H. Narrative explanat</w:t>
            </w:r>
            <w:r>
              <w:rPr>
                <w:rFonts w:ascii="Arial" w:eastAsia="Arial" w:hAnsi="Arial" w:cs="Arial"/>
                <w:sz w:val="22"/>
                <w:szCs w:val="22"/>
              </w:rPr>
              <w:t xml:space="preserve">ion of how the program investigates </w:t>
            </w:r>
            <w:r>
              <w:rPr>
                <w:rFonts w:ascii="Arial" w:eastAsia="Arial" w:hAnsi="Arial" w:cs="Arial"/>
                <w:b/>
                <w:sz w:val="22"/>
                <w:szCs w:val="22"/>
              </w:rPr>
              <w:t>employment rates for program completers</w:t>
            </w:r>
            <w:r>
              <w:rPr>
                <w:rFonts w:ascii="Arial" w:eastAsia="Arial" w:hAnsi="Arial" w:cs="Arial"/>
                <w:sz w:val="22"/>
                <w:szCs w:val="22"/>
              </w:rPr>
              <w:t>, with a characterization of findings. This section may also indicate rates of completers’ ongoing education, e.g., graduate study.</w:t>
            </w:r>
          </w:p>
        </w:tc>
      </w:tr>
      <w:tr w:rsidR="00E53683">
        <w:trPr>
          <w:trHeight w:val="21"/>
        </w:trPr>
        <w:tc>
          <w:tcPr>
            <w:tcW w:w="12960" w:type="dxa"/>
            <w:shd w:val="clear" w:color="auto" w:fill="D0E0E3"/>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Oregon Statewide Longitudinal Data System has recently been created after years of work with state and EPP representation.  Upon request from EOU, we received the EOU Oregon Educator Public Employment Report in November.  For this reporting, the data f</w:t>
            </w:r>
            <w:r>
              <w:rPr>
                <w:rFonts w:ascii="Times New Roman" w:eastAsia="Times New Roman" w:hAnsi="Times New Roman" w:cs="Times New Roman"/>
                <w:sz w:val="22"/>
                <w:szCs w:val="22"/>
              </w:rPr>
              <w:t>ile includes data</w:t>
            </w: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between September 1, 2010 to August 31, 2020; data after this date is not yet available.  From the report provided, for the last three reporting years available (this data is 3 years behind as it required three years to follow the candida</w:t>
            </w:r>
            <w:r>
              <w:rPr>
                <w:rFonts w:ascii="Times New Roman" w:eastAsia="Times New Roman" w:hAnsi="Times New Roman" w:cs="Times New Roman"/>
                <w:sz w:val="22"/>
                <w:szCs w:val="22"/>
              </w:rPr>
              <w:t>tes), in each of the years, EOU has been in the 90% range: 15-16 - 94%, 16-17-93%, and 17-18-97%.  For years 16-17 and 17-18, all candidates hired were within two years of completing their program.  EOU also has a preliminary teacher three-year retention r</w:t>
            </w:r>
            <w:r>
              <w:rPr>
                <w:rFonts w:ascii="Times New Roman" w:eastAsia="Times New Roman" w:hAnsi="Times New Roman" w:cs="Times New Roman"/>
                <w:sz w:val="22"/>
                <w:szCs w:val="22"/>
              </w:rPr>
              <w:t xml:space="preserve">ate at 80% or above for the respective years: 15-16 - 82%, 16-17-91%, and 17-18-80%.  </w:t>
            </w:r>
          </w:p>
          <w:p w:rsidR="00E53683" w:rsidRDefault="00E53683">
            <w:pPr>
              <w:rPr>
                <w:rFonts w:ascii="Times New Roman" w:eastAsia="Times New Roman" w:hAnsi="Times New Roman" w:cs="Times New Roman"/>
                <w:sz w:val="22"/>
                <w:szCs w:val="22"/>
              </w:rPr>
            </w:pP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EOU has been interested in identifying where EOU trained, licensed alumni are working.  Utilizing the data provided from the Oregon Statewide Longitudinal Data System, </w:t>
            </w:r>
            <w:r>
              <w:rPr>
                <w:rFonts w:ascii="Times New Roman" w:eastAsia="Times New Roman" w:hAnsi="Times New Roman" w:cs="Times New Roman"/>
                <w:sz w:val="22"/>
                <w:szCs w:val="22"/>
              </w:rPr>
              <w:t>we were able to plot locations of EOU trained licensed alumni for AY 20-21, we had 236 alumni teaching across the state!</w:t>
            </w:r>
          </w:p>
          <w:p w:rsidR="00E53683" w:rsidRDefault="002974EE">
            <w:pPr>
              <w:jc w:val="center"/>
              <w:rPr>
                <w:rFonts w:ascii="Times New Roman" w:eastAsia="Times New Roman" w:hAnsi="Times New Roman" w:cs="Times New Roman"/>
                <w:sz w:val="22"/>
                <w:szCs w:val="22"/>
              </w:rPr>
            </w:pPr>
            <w:r>
              <w:rPr>
                <w:rFonts w:ascii="Times New Roman" w:eastAsia="Times New Roman" w:hAnsi="Times New Roman" w:cs="Times New Roman"/>
                <w:noProof/>
              </w:rPr>
              <w:lastRenderedPageBreak/>
              <w:drawing>
                <wp:inline distT="114300" distB="114300" distL="114300" distR="114300">
                  <wp:extent cx="3024188" cy="2512027"/>
                  <wp:effectExtent l="0" t="0" r="0" b="0"/>
                  <wp:docPr id="2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3024188" cy="2512027"/>
                          </a:xfrm>
                          <a:prstGeom prst="rect">
                            <a:avLst/>
                          </a:prstGeom>
                          <a:ln/>
                        </pic:spPr>
                      </pic:pic>
                    </a:graphicData>
                  </a:graphic>
                </wp:inline>
              </w:drawing>
            </w: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E53683" w:rsidRDefault="00E53683">
            <w:pPr>
              <w:rPr>
                <w:rFonts w:ascii="Times New Roman" w:eastAsia="Times New Roman" w:hAnsi="Times New Roman" w:cs="Times New Roman"/>
                <w:sz w:val="22"/>
                <w:szCs w:val="22"/>
              </w:rPr>
            </w:pPr>
          </w:p>
        </w:tc>
      </w:tr>
    </w:tbl>
    <w:p w:rsidR="00E53683" w:rsidRDefault="00E53683"/>
    <w:p w:rsidR="00E53683" w:rsidRDefault="002974EE">
      <w:pPr>
        <w:keepNext/>
        <w:keepLines/>
        <w:numPr>
          <w:ilvl w:val="0"/>
          <w:numId w:val="10"/>
        </w:numPr>
        <w:spacing w:before="120" w:after="120"/>
        <w:ind w:left="360"/>
        <w:rPr>
          <w:b/>
        </w:rPr>
      </w:pPr>
      <w:r>
        <w:rPr>
          <w:b/>
          <w:sz w:val="28"/>
          <w:szCs w:val="28"/>
        </w:rPr>
        <w:t>Candidate Academic Performance Indicators</w:t>
      </w:r>
    </w:p>
    <w:p w:rsidR="00E53683" w:rsidRDefault="002974EE">
      <w:pPr>
        <w:keepLines/>
      </w:pPr>
      <w:r>
        <w:t xml:space="preserve">Tables 3 and 4 report on select measures of candidate/completer performance related to AAQEP Standards 1 and 2, including the program’s expectations for successful performance and indicators of the degree to which those expectations are met. </w:t>
      </w:r>
    </w:p>
    <w:p w:rsidR="00E53683" w:rsidRDefault="002974EE">
      <w:pPr>
        <w:keepNext/>
        <w:keepLines/>
        <w:spacing w:before="200" w:after="120"/>
        <w:rPr>
          <w:b/>
        </w:rPr>
      </w:pPr>
      <w:r>
        <w:rPr>
          <w:b/>
        </w:rPr>
        <w:t>Table 3. Expe</w:t>
      </w:r>
      <w:r>
        <w:rPr>
          <w:b/>
        </w:rPr>
        <w:t>ctations and Performance on Standard 1: Candidate and Completer Performance</w:t>
      </w:r>
    </w:p>
    <w:tbl>
      <w:tblPr>
        <w:tblStyle w:val="afffe"/>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8"/>
        <w:gridCol w:w="4318"/>
        <w:gridCol w:w="4319"/>
      </w:tblGrid>
      <w:tr w:rsidR="00E53683">
        <w:trPr>
          <w:trHeight w:val="420"/>
        </w:trPr>
        <w:tc>
          <w:tcPr>
            <w:tcW w:w="4318" w:type="dxa"/>
            <w:shd w:val="clear" w:color="auto" w:fill="FFFFFF"/>
          </w:tcPr>
          <w:p w:rsidR="00E53683" w:rsidRDefault="002974EE">
            <w:pPr>
              <w:keepNext/>
              <w:keepLines/>
              <w:rPr>
                <w:rFonts w:ascii="Arial" w:eastAsia="Arial" w:hAnsi="Arial" w:cs="Arial"/>
                <w:b/>
                <w:sz w:val="22"/>
                <w:szCs w:val="22"/>
              </w:rPr>
            </w:pPr>
            <w:r>
              <w:rPr>
                <w:rFonts w:ascii="Arial" w:eastAsia="Arial" w:hAnsi="Arial" w:cs="Arial"/>
                <w:b/>
                <w:sz w:val="22"/>
                <w:szCs w:val="22"/>
              </w:rPr>
              <w:t>Provider-Selected Measures</w:t>
            </w:r>
          </w:p>
        </w:tc>
        <w:tc>
          <w:tcPr>
            <w:tcW w:w="4318" w:type="dxa"/>
            <w:shd w:val="clear" w:color="auto" w:fill="FFFFFF"/>
          </w:tcPr>
          <w:p w:rsidR="00E53683" w:rsidRDefault="002974EE">
            <w:pPr>
              <w:keepNext/>
              <w:keepLines/>
              <w:rPr>
                <w:rFonts w:ascii="Arial" w:eastAsia="Arial" w:hAnsi="Arial" w:cs="Arial"/>
                <w:b/>
                <w:sz w:val="22"/>
                <w:szCs w:val="22"/>
              </w:rPr>
            </w:pPr>
            <w:r>
              <w:rPr>
                <w:rFonts w:ascii="Arial" w:eastAsia="Arial" w:hAnsi="Arial" w:cs="Arial"/>
                <w:b/>
                <w:sz w:val="22"/>
                <w:szCs w:val="22"/>
              </w:rPr>
              <w:t>Explanation of Performance Expectation</w:t>
            </w:r>
          </w:p>
        </w:tc>
        <w:tc>
          <w:tcPr>
            <w:tcW w:w="4319" w:type="dxa"/>
            <w:shd w:val="clear" w:color="auto" w:fill="FFFFFF"/>
          </w:tcPr>
          <w:p w:rsidR="00E53683" w:rsidRDefault="002974EE">
            <w:pPr>
              <w:keepNext/>
              <w:keepLines/>
              <w:rPr>
                <w:rFonts w:ascii="Arial" w:eastAsia="Arial" w:hAnsi="Arial" w:cs="Arial"/>
                <w:b/>
                <w:sz w:val="22"/>
                <w:szCs w:val="22"/>
              </w:rPr>
            </w:pPr>
            <w:r>
              <w:rPr>
                <w:rFonts w:ascii="Arial" w:eastAsia="Arial" w:hAnsi="Arial" w:cs="Arial"/>
                <w:b/>
                <w:sz w:val="22"/>
                <w:szCs w:val="22"/>
              </w:rPr>
              <w:t>Level or Extent of Success in Meeting the Expectation</w:t>
            </w:r>
          </w:p>
        </w:tc>
      </w:tr>
      <w:tr w:rsidR="00E53683">
        <w:trPr>
          <w:trHeight w:val="21"/>
        </w:trPr>
        <w:tc>
          <w:tcPr>
            <w:tcW w:w="4318" w:type="dxa"/>
            <w:shd w:val="clear" w:color="auto" w:fill="D0E0E3"/>
          </w:tcPr>
          <w:p w:rsidR="00E53683" w:rsidRDefault="002974EE">
            <w:pPr>
              <w:keepLines/>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edTPA</w:t>
            </w:r>
            <w:proofErr w:type="spellEnd"/>
          </w:p>
        </w:tc>
        <w:tc>
          <w:tcPr>
            <w:tcW w:w="4318" w:type="dxa"/>
            <w:shd w:val="clear" w:color="auto" w:fill="D0E0E3"/>
          </w:tcPr>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w:t>
            </w:r>
            <w:proofErr w:type="spellStart"/>
            <w:r>
              <w:rPr>
                <w:rFonts w:ascii="Times New Roman" w:eastAsia="Times New Roman" w:hAnsi="Times New Roman" w:cs="Times New Roman"/>
                <w:sz w:val="22"/>
                <w:szCs w:val="22"/>
              </w:rPr>
              <w:t>edTPA</w:t>
            </w:r>
            <w:proofErr w:type="spellEnd"/>
            <w:r>
              <w:rPr>
                <w:rFonts w:ascii="Times New Roman" w:eastAsia="Times New Roman" w:hAnsi="Times New Roman" w:cs="Times New Roman"/>
                <w:sz w:val="22"/>
                <w:szCs w:val="22"/>
              </w:rPr>
              <w:t xml:space="preserve"> is a culminating assignment required by the</w:t>
            </w:r>
            <w:r>
              <w:rPr>
                <w:rFonts w:ascii="Times New Roman" w:eastAsia="Times New Roman" w:hAnsi="Times New Roman" w:cs="Times New Roman"/>
                <w:sz w:val="22"/>
                <w:szCs w:val="22"/>
              </w:rPr>
              <w:t xml:space="preserve"> state of Oregon. This assessment </w:t>
            </w:r>
            <w:hyperlink r:id="rId20">
              <w:r>
                <w:rPr>
                  <w:rFonts w:ascii="Times New Roman" w:eastAsia="Times New Roman" w:hAnsi="Times New Roman" w:cs="Times New Roman"/>
                  <w:color w:val="1155CC"/>
                  <w:sz w:val="22"/>
                  <w:szCs w:val="22"/>
                  <w:u w:val="single"/>
                </w:rPr>
                <w:t xml:space="preserve">aligned </w:t>
              </w:r>
            </w:hyperlink>
            <w:r>
              <w:rPr>
                <w:rFonts w:ascii="Times New Roman" w:eastAsia="Times New Roman" w:hAnsi="Times New Roman" w:cs="Times New Roman"/>
                <w:sz w:val="22"/>
                <w:szCs w:val="22"/>
              </w:rPr>
              <w:t>to the College of Education, state, professional, and national standards.</w:t>
            </w:r>
          </w:p>
          <w:p w:rsidR="00E53683" w:rsidRDefault="00E53683">
            <w:pPr>
              <w:keepLines/>
              <w:rPr>
                <w:rFonts w:ascii="Times New Roman" w:eastAsia="Times New Roman" w:hAnsi="Times New Roman" w:cs="Times New Roman"/>
                <w:sz w:val="22"/>
                <w:szCs w:val="22"/>
              </w:rPr>
            </w:pPr>
          </w:p>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Candidates must meet the minimum requirement set by the state of Oregon on their endorsement handbook. </w:t>
            </w:r>
            <w:r>
              <w:rPr>
                <w:rFonts w:ascii="Times New Roman" w:eastAsia="Times New Roman" w:hAnsi="Times New Roman" w:cs="Times New Roman"/>
              </w:rPr>
              <w:t xml:space="preserve">The </w:t>
            </w:r>
            <w:proofErr w:type="spellStart"/>
            <w:r>
              <w:rPr>
                <w:rFonts w:ascii="Times New Roman" w:eastAsia="Times New Roman" w:hAnsi="Times New Roman" w:cs="Times New Roman"/>
              </w:rPr>
              <w:t>edTPA</w:t>
            </w:r>
            <w:proofErr w:type="spellEnd"/>
            <w:r>
              <w:rPr>
                <w:rFonts w:ascii="Times New Roman" w:eastAsia="Times New Roman" w:hAnsi="Times New Roman" w:cs="Times New Roman"/>
              </w:rPr>
              <w:t>® is a proprietary instrument, developed by the Stanford Center for Assessment, Learning, and Equity (SCALE) and Pearson.</w:t>
            </w:r>
          </w:p>
        </w:tc>
        <w:tc>
          <w:tcPr>
            <w:tcW w:w="4319" w:type="dxa"/>
            <w:shd w:val="clear" w:color="auto" w:fill="D0E0E3"/>
          </w:tcPr>
          <w:p w:rsidR="00E53683" w:rsidRDefault="002974EE">
            <w:pPr>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lastRenderedPageBreak/>
              <w:t>EdTPA</w:t>
            </w:r>
            <w:proofErr w:type="spellEnd"/>
            <w:r>
              <w:rPr>
                <w:rFonts w:ascii="Times New Roman" w:eastAsia="Times New Roman" w:hAnsi="Times New Roman" w:cs="Times New Roman"/>
                <w:sz w:val="22"/>
                <w:szCs w:val="22"/>
              </w:rPr>
              <w:t xml:space="preserve"> Elementary Educa</w:t>
            </w:r>
            <w:r>
              <w:rPr>
                <w:rFonts w:ascii="Times New Roman" w:eastAsia="Times New Roman" w:hAnsi="Times New Roman" w:cs="Times New Roman"/>
                <w:sz w:val="22"/>
                <w:szCs w:val="22"/>
              </w:rPr>
              <w:t xml:space="preserve">tion: Literacy with </w:t>
            </w:r>
            <w:proofErr w:type="spellStart"/>
            <w:r>
              <w:rPr>
                <w:rFonts w:ascii="Times New Roman" w:eastAsia="Times New Roman" w:hAnsi="Times New Roman" w:cs="Times New Roman"/>
                <w:sz w:val="22"/>
                <w:szCs w:val="22"/>
              </w:rPr>
              <w:t>MAthematics</w:t>
            </w:r>
            <w:proofErr w:type="spellEnd"/>
            <w:r>
              <w:rPr>
                <w:rFonts w:ascii="Times New Roman" w:eastAsia="Times New Roman" w:hAnsi="Times New Roman" w:cs="Times New Roman"/>
                <w:sz w:val="22"/>
                <w:szCs w:val="22"/>
              </w:rPr>
              <w:t xml:space="preserve"> Task 4 or Early Childhood is required to be passed by all Oregon Multiple subject candidates.  For the AY 21-22 cohorts, EOU’s pass rate on the </w:t>
            </w:r>
            <w:r>
              <w:rPr>
                <w:rFonts w:ascii="Times New Roman" w:eastAsia="Times New Roman" w:hAnsi="Times New Roman" w:cs="Times New Roman"/>
                <w:b/>
                <w:i/>
                <w:sz w:val="22"/>
                <w:szCs w:val="22"/>
              </w:rPr>
              <w:t>first attempt</w:t>
            </w:r>
            <w:r>
              <w:rPr>
                <w:rFonts w:ascii="Times New Roman" w:eastAsia="Times New Roman" w:hAnsi="Times New Roman" w:cs="Times New Roman"/>
                <w:sz w:val="22"/>
                <w:szCs w:val="22"/>
              </w:rPr>
              <w:t xml:space="preserve"> for the Early Childhood </w:t>
            </w:r>
            <w:proofErr w:type="spellStart"/>
            <w:r>
              <w:rPr>
                <w:rFonts w:ascii="Times New Roman" w:eastAsia="Times New Roman" w:hAnsi="Times New Roman" w:cs="Times New Roman"/>
                <w:sz w:val="22"/>
                <w:szCs w:val="22"/>
              </w:rPr>
              <w:t>edTPA</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wass</w:t>
            </w:r>
            <w:proofErr w:type="spellEnd"/>
            <w:r>
              <w:rPr>
                <w:rFonts w:ascii="Times New Roman" w:eastAsia="Times New Roman" w:hAnsi="Times New Roman" w:cs="Times New Roman"/>
                <w:sz w:val="22"/>
                <w:szCs w:val="22"/>
              </w:rPr>
              <w:t xml:space="preserve"> 100%, while that state average </w:t>
            </w:r>
            <w:r>
              <w:rPr>
                <w:rFonts w:ascii="Times New Roman" w:eastAsia="Times New Roman" w:hAnsi="Times New Roman" w:cs="Times New Roman"/>
                <w:sz w:val="22"/>
                <w:szCs w:val="22"/>
              </w:rPr>
              <w:t xml:space="preserve">was 95%.  </w:t>
            </w:r>
          </w:p>
          <w:p w:rsidR="00E53683" w:rsidRDefault="00E53683">
            <w:pPr>
              <w:rPr>
                <w:rFonts w:ascii="Times New Roman" w:eastAsia="Times New Roman" w:hAnsi="Times New Roman" w:cs="Times New Roman"/>
                <w:sz w:val="22"/>
                <w:szCs w:val="22"/>
              </w:rPr>
            </w:pP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 Elementary Education: Literacy with </w:t>
            </w:r>
            <w:proofErr w:type="spellStart"/>
            <w:r>
              <w:rPr>
                <w:rFonts w:ascii="Times New Roman" w:eastAsia="Times New Roman" w:hAnsi="Times New Roman" w:cs="Times New Roman"/>
                <w:sz w:val="22"/>
                <w:szCs w:val="22"/>
              </w:rPr>
              <w:t>MAthematics</w:t>
            </w:r>
            <w:proofErr w:type="spellEnd"/>
            <w:r>
              <w:rPr>
                <w:rFonts w:ascii="Times New Roman" w:eastAsia="Times New Roman" w:hAnsi="Times New Roman" w:cs="Times New Roman"/>
                <w:sz w:val="22"/>
                <w:szCs w:val="22"/>
              </w:rPr>
              <w:t xml:space="preserve"> Task 4, EOU’s pass rate on the </w:t>
            </w:r>
            <w:r>
              <w:rPr>
                <w:rFonts w:ascii="Times New Roman" w:eastAsia="Times New Roman" w:hAnsi="Times New Roman" w:cs="Times New Roman"/>
                <w:b/>
                <w:i/>
                <w:sz w:val="22"/>
                <w:szCs w:val="22"/>
              </w:rPr>
              <w:t xml:space="preserve">first attempt </w:t>
            </w:r>
            <w:r>
              <w:rPr>
                <w:rFonts w:ascii="Times New Roman" w:eastAsia="Times New Roman" w:hAnsi="Times New Roman" w:cs="Times New Roman"/>
                <w:sz w:val="22"/>
                <w:szCs w:val="22"/>
              </w:rPr>
              <w:t xml:space="preserve">was 98%, while the state average was 95%.  </w:t>
            </w:r>
          </w:p>
          <w:p w:rsidR="00E53683" w:rsidRDefault="00E53683">
            <w:pPr>
              <w:rPr>
                <w:rFonts w:ascii="Times New Roman" w:eastAsia="Times New Roman" w:hAnsi="Times New Roman" w:cs="Times New Roman"/>
                <w:sz w:val="22"/>
                <w:szCs w:val="22"/>
              </w:rPr>
            </w:pP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 the Secondary program, candidates are required to complete the EDTPA in their content area; this leads to low n for individual content area reporting purposes.  Overall, 80% of secondary candidates passed on the </w:t>
            </w:r>
            <w:r>
              <w:rPr>
                <w:rFonts w:ascii="Times New Roman" w:eastAsia="Times New Roman" w:hAnsi="Times New Roman" w:cs="Times New Roman"/>
                <w:b/>
                <w:i/>
                <w:sz w:val="22"/>
                <w:szCs w:val="22"/>
              </w:rPr>
              <w:t xml:space="preserve">first attempt. </w:t>
            </w:r>
            <w:r>
              <w:rPr>
                <w:rFonts w:ascii="Times New Roman" w:eastAsia="Times New Roman" w:hAnsi="Times New Roman" w:cs="Times New Roman"/>
                <w:sz w:val="22"/>
                <w:szCs w:val="22"/>
              </w:rPr>
              <w:t xml:space="preserve"> Of the 40 secondary stud</w:t>
            </w:r>
            <w:r>
              <w:rPr>
                <w:rFonts w:ascii="Times New Roman" w:eastAsia="Times New Roman" w:hAnsi="Times New Roman" w:cs="Times New Roman"/>
                <w:sz w:val="22"/>
                <w:szCs w:val="22"/>
              </w:rPr>
              <w:t xml:space="preserve">ents that took the </w:t>
            </w:r>
            <w:proofErr w:type="spellStart"/>
            <w:r>
              <w:rPr>
                <w:rFonts w:ascii="Times New Roman" w:eastAsia="Times New Roman" w:hAnsi="Times New Roman" w:cs="Times New Roman"/>
                <w:sz w:val="22"/>
                <w:szCs w:val="22"/>
              </w:rPr>
              <w:t>edTPA</w:t>
            </w:r>
            <w:proofErr w:type="spellEnd"/>
            <w:r>
              <w:rPr>
                <w:rFonts w:ascii="Times New Roman" w:eastAsia="Times New Roman" w:hAnsi="Times New Roman" w:cs="Times New Roman"/>
                <w:sz w:val="22"/>
                <w:szCs w:val="22"/>
              </w:rPr>
              <w:t xml:space="preserve"> in their content area, there were only 8 students that did not pass.  All 8 students were in two content areas:  physical education and secondary mathematics. The secondary cohort had an overall pass rate of 92.5%. There are three </w:t>
            </w:r>
            <w:r>
              <w:rPr>
                <w:rFonts w:ascii="Times New Roman" w:eastAsia="Times New Roman" w:hAnsi="Times New Roman" w:cs="Times New Roman"/>
                <w:sz w:val="22"/>
                <w:szCs w:val="22"/>
              </w:rPr>
              <w:t>students from this cohort that have not yet chosen to retake.</w:t>
            </w:r>
          </w:p>
          <w:p w:rsidR="00E53683" w:rsidRDefault="00E53683">
            <w:pPr>
              <w:rPr>
                <w:rFonts w:ascii="Times New Roman" w:eastAsia="Times New Roman" w:hAnsi="Times New Roman" w:cs="Times New Roman"/>
                <w:sz w:val="22"/>
                <w:szCs w:val="22"/>
              </w:rPr>
            </w:pP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physical education and secondary mathematics four students (in each content area) did not pass the </w:t>
            </w:r>
            <w:proofErr w:type="spellStart"/>
            <w:r>
              <w:rPr>
                <w:rFonts w:ascii="Times New Roman" w:eastAsia="Times New Roman" w:hAnsi="Times New Roman" w:cs="Times New Roman"/>
                <w:sz w:val="22"/>
                <w:szCs w:val="22"/>
              </w:rPr>
              <w:t>edTPA</w:t>
            </w:r>
            <w:proofErr w:type="spellEnd"/>
            <w:r>
              <w:rPr>
                <w:rFonts w:ascii="Times New Roman" w:eastAsia="Times New Roman" w:hAnsi="Times New Roman" w:cs="Times New Roman"/>
                <w:sz w:val="22"/>
                <w:szCs w:val="22"/>
              </w:rPr>
              <w:t xml:space="preserve">.  Of the four PE candidates, three had errors in their submission.  Of the four, two </w:t>
            </w:r>
            <w:r>
              <w:rPr>
                <w:rFonts w:ascii="Times New Roman" w:eastAsia="Times New Roman" w:hAnsi="Times New Roman" w:cs="Times New Roman"/>
                <w:sz w:val="22"/>
                <w:szCs w:val="22"/>
              </w:rPr>
              <w:t xml:space="preserve">candidates (both received an error in their submission), have not yet passed.  </w:t>
            </w:r>
          </w:p>
          <w:p w:rsidR="00E53683" w:rsidRDefault="00E53683">
            <w:pPr>
              <w:keepLines/>
              <w:rPr>
                <w:rFonts w:ascii="Times New Roman" w:eastAsia="Times New Roman" w:hAnsi="Times New Roman" w:cs="Times New Roman"/>
              </w:rPr>
            </w:pPr>
          </w:p>
        </w:tc>
      </w:tr>
      <w:tr w:rsidR="00E53683">
        <w:trPr>
          <w:trHeight w:val="21"/>
        </w:trPr>
        <w:tc>
          <w:tcPr>
            <w:tcW w:w="4318" w:type="dxa"/>
            <w:shd w:val="clear" w:color="auto" w:fill="D0E0E3"/>
          </w:tcPr>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Content Tests (ORELA)</w:t>
            </w:r>
          </w:p>
        </w:tc>
        <w:tc>
          <w:tcPr>
            <w:tcW w:w="4318" w:type="dxa"/>
            <w:shd w:val="clear" w:color="auto" w:fill="D0E0E3"/>
          </w:tcPr>
          <w:p w:rsidR="00E53683" w:rsidRDefault="002974EE">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i/>
                <w:color w:val="303030"/>
                <w:sz w:val="22"/>
                <w:szCs w:val="22"/>
              </w:rPr>
              <w:t xml:space="preserve">Elementary - </w:t>
            </w:r>
            <w:r>
              <w:rPr>
                <w:rFonts w:ascii="Times New Roman" w:eastAsia="Times New Roman" w:hAnsi="Times New Roman" w:cs="Times New Roman"/>
                <w:color w:val="303030"/>
                <w:sz w:val="22"/>
                <w:szCs w:val="22"/>
              </w:rPr>
              <w:t> Elementary teacher candidates are required to successfully complete the Elementary Education Subtests I and II.</w:t>
            </w:r>
            <w:r>
              <w:rPr>
                <w:rFonts w:ascii="Times New Roman" w:eastAsia="Times New Roman" w:hAnsi="Times New Roman" w:cs="Times New Roman"/>
                <w:i/>
                <w:color w:val="303030"/>
                <w:sz w:val="22"/>
                <w:szCs w:val="22"/>
              </w:rPr>
              <w:t xml:space="preserve">  </w:t>
            </w:r>
            <w:r>
              <w:rPr>
                <w:rFonts w:ascii="Times New Roman" w:eastAsia="Times New Roman" w:hAnsi="Times New Roman" w:cs="Times New Roman"/>
                <w:color w:val="303030"/>
                <w:sz w:val="22"/>
                <w:szCs w:val="22"/>
              </w:rPr>
              <w:t>The ORELA</w:t>
            </w:r>
            <w:r>
              <w:rPr>
                <w:rFonts w:ascii="Times New Roman" w:eastAsia="Times New Roman" w:hAnsi="Times New Roman" w:cs="Times New Roman"/>
                <w:sz w:val="22"/>
                <w:szCs w:val="22"/>
              </w:rPr>
              <w:t>®</w:t>
            </w:r>
            <w:r>
              <w:rPr>
                <w:rFonts w:ascii="Times New Roman" w:eastAsia="Times New Roman" w:hAnsi="Times New Roman" w:cs="Times New Roman"/>
                <w:color w:val="303030"/>
                <w:sz w:val="22"/>
                <w:szCs w:val="22"/>
              </w:rPr>
              <w:t xml:space="preserve"> exams</w:t>
            </w:r>
            <w:r>
              <w:rPr>
                <w:rFonts w:ascii="Times New Roman" w:eastAsia="Times New Roman" w:hAnsi="Times New Roman" w:cs="Times New Roman"/>
                <w:color w:val="303030"/>
                <w:sz w:val="22"/>
                <w:szCs w:val="22"/>
                <w:highlight w:val="white"/>
              </w:rPr>
              <w:t xml:space="preserve"> </w:t>
            </w:r>
            <w:r>
              <w:rPr>
                <w:rFonts w:ascii="Times New Roman" w:eastAsia="Times New Roman" w:hAnsi="Times New Roman" w:cs="Times New Roman"/>
                <w:color w:val="303030"/>
                <w:sz w:val="22"/>
                <w:szCs w:val="22"/>
              </w:rPr>
              <w:t xml:space="preserve">are utilized at two different transition </w:t>
            </w:r>
            <w:r>
              <w:rPr>
                <w:rFonts w:ascii="Times New Roman" w:eastAsia="Times New Roman" w:hAnsi="Times New Roman" w:cs="Times New Roman"/>
                <w:color w:val="303030"/>
                <w:sz w:val="22"/>
                <w:szCs w:val="22"/>
              </w:rPr>
              <w:t>points within the program.  The ORELA</w:t>
            </w:r>
            <w:r>
              <w:rPr>
                <w:rFonts w:ascii="Times New Roman" w:eastAsia="Times New Roman" w:hAnsi="Times New Roman" w:cs="Times New Roman"/>
                <w:sz w:val="22"/>
                <w:szCs w:val="22"/>
              </w:rPr>
              <w:t>®</w:t>
            </w:r>
            <w:r>
              <w:rPr>
                <w:rFonts w:ascii="Times New Roman" w:eastAsia="Times New Roman" w:hAnsi="Times New Roman" w:cs="Times New Roman"/>
                <w:color w:val="303030"/>
                <w:sz w:val="22"/>
                <w:szCs w:val="22"/>
              </w:rPr>
              <w:t xml:space="preserve"> Elementary Education Subtests II is required for admissions to the program and </w:t>
            </w:r>
            <w:r>
              <w:rPr>
                <w:rFonts w:ascii="Times New Roman" w:eastAsia="Times New Roman" w:hAnsi="Times New Roman" w:cs="Times New Roman"/>
                <w:color w:val="303030"/>
                <w:sz w:val="22"/>
                <w:szCs w:val="22"/>
              </w:rPr>
              <w:lastRenderedPageBreak/>
              <w:t xml:space="preserve">the Elementary Education Subtests I </w:t>
            </w:r>
            <w:proofErr w:type="gramStart"/>
            <w:r>
              <w:rPr>
                <w:rFonts w:ascii="Times New Roman" w:eastAsia="Times New Roman" w:hAnsi="Times New Roman" w:cs="Times New Roman"/>
                <w:color w:val="303030"/>
                <w:sz w:val="22"/>
                <w:szCs w:val="22"/>
              </w:rPr>
              <w:t>is</w:t>
            </w:r>
            <w:proofErr w:type="gramEnd"/>
            <w:r>
              <w:rPr>
                <w:rFonts w:ascii="Times New Roman" w:eastAsia="Times New Roman" w:hAnsi="Times New Roman" w:cs="Times New Roman"/>
                <w:color w:val="303030"/>
                <w:sz w:val="22"/>
                <w:szCs w:val="22"/>
              </w:rPr>
              <w:t xml:space="preserve"> required prior to student teaching. In addition, the ORELA</w:t>
            </w:r>
            <w:r>
              <w:rPr>
                <w:rFonts w:ascii="Times New Roman" w:eastAsia="Times New Roman" w:hAnsi="Times New Roman" w:cs="Times New Roman"/>
                <w:sz w:val="22"/>
                <w:szCs w:val="22"/>
              </w:rPr>
              <w:t>®</w:t>
            </w:r>
            <w:r>
              <w:rPr>
                <w:rFonts w:ascii="Times New Roman" w:eastAsia="Times New Roman" w:hAnsi="Times New Roman" w:cs="Times New Roman"/>
                <w:color w:val="303030"/>
                <w:sz w:val="22"/>
                <w:szCs w:val="22"/>
              </w:rPr>
              <w:t xml:space="preserve"> is used to </w:t>
            </w:r>
            <w:r>
              <w:rPr>
                <w:rFonts w:ascii="Times New Roman" w:eastAsia="Times New Roman" w:hAnsi="Times New Roman" w:cs="Times New Roman"/>
                <w:sz w:val="22"/>
                <w:szCs w:val="22"/>
              </w:rPr>
              <w:t xml:space="preserve">document teacher candidate development towards College of Education, state, professional, and national standards; and is used to make improvements </w:t>
            </w:r>
            <w:r>
              <w:rPr>
                <w:rFonts w:ascii="Times New Roman" w:eastAsia="Times New Roman" w:hAnsi="Times New Roman" w:cs="Times New Roman"/>
                <w:sz w:val="22"/>
                <w:szCs w:val="22"/>
              </w:rPr>
              <w:t>in the program</w:t>
            </w:r>
            <w:r>
              <w:rPr>
                <w:rFonts w:ascii="Times New Roman" w:eastAsia="Times New Roman" w:hAnsi="Times New Roman" w:cs="Times New Roman"/>
                <w:sz w:val="22"/>
                <w:szCs w:val="22"/>
              </w:rPr>
              <w:t xml:space="preserve">. This assessment </w:t>
            </w:r>
            <w:hyperlink r:id="rId21">
              <w:r>
                <w:rPr>
                  <w:rFonts w:ascii="Times New Roman" w:eastAsia="Times New Roman" w:hAnsi="Times New Roman" w:cs="Times New Roman"/>
                  <w:color w:val="1155CC"/>
                  <w:sz w:val="22"/>
                  <w:szCs w:val="22"/>
                  <w:u w:val="single"/>
                </w:rPr>
                <w:t xml:space="preserve">aligned </w:t>
              </w:r>
            </w:hyperlink>
            <w:r>
              <w:rPr>
                <w:rFonts w:ascii="Times New Roman" w:eastAsia="Times New Roman" w:hAnsi="Times New Roman" w:cs="Times New Roman"/>
                <w:sz w:val="22"/>
                <w:szCs w:val="22"/>
              </w:rPr>
              <w:t>to the College of Education, state, professional, and national standards.</w:t>
            </w:r>
          </w:p>
          <w:p w:rsidR="00E53683" w:rsidRDefault="00E53683">
            <w:pPr>
              <w:keepLines/>
              <w:rPr>
                <w:rFonts w:ascii="Times New Roman" w:eastAsia="Times New Roman" w:hAnsi="Times New Roman" w:cs="Times New Roman"/>
                <w:sz w:val="22"/>
                <w:szCs w:val="22"/>
              </w:rPr>
            </w:pPr>
          </w:p>
          <w:p w:rsidR="00E53683" w:rsidRDefault="002974EE">
            <w:pPr>
              <w:keepLines/>
              <w:rPr>
                <w:rFonts w:ascii="Times New Roman" w:eastAsia="Times New Roman" w:hAnsi="Times New Roman" w:cs="Times New Roman"/>
                <w:color w:val="303030"/>
                <w:sz w:val="22"/>
                <w:szCs w:val="22"/>
              </w:rPr>
            </w:pPr>
            <w:r>
              <w:rPr>
                <w:rFonts w:ascii="Times New Roman" w:eastAsia="Times New Roman" w:hAnsi="Times New Roman" w:cs="Times New Roman"/>
                <w:i/>
                <w:color w:val="303030"/>
                <w:sz w:val="22"/>
                <w:szCs w:val="22"/>
              </w:rPr>
              <w:t xml:space="preserve">Secondary </w:t>
            </w:r>
            <w:r>
              <w:rPr>
                <w:rFonts w:ascii="Times New Roman" w:eastAsia="Times New Roman" w:hAnsi="Times New Roman" w:cs="Times New Roman"/>
                <w:color w:val="303030"/>
                <w:sz w:val="22"/>
                <w:szCs w:val="22"/>
              </w:rPr>
              <w:t>- All secondary MAT endorsement areas utilize ORELA</w:t>
            </w:r>
            <w:r>
              <w:rPr>
                <w:rFonts w:ascii="Times New Roman" w:eastAsia="Times New Roman" w:hAnsi="Times New Roman" w:cs="Times New Roman"/>
                <w:sz w:val="22"/>
                <w:szCs w:val="22"/>
              </w:rPr>
              <w:t>®</w:t>
            </w:r>
            <w:r>
              <w:rPr>
                <w:rFonts w:ascii="Times New Roman" w:eastAsia="Times New Roman" w:hAnsi="Times New Roman" w:cs="Times New Roman"/>
                <w:color w:val="303030"/>
                <w:sz w:val="22"/>
                <w:szCs w:val="22"/>
              </w:rPr>
              <w:t xml:space="preserve"> with the exception of the Agricultural Science endorsement, which requires a PRAXIS</w:t>
            </w:r>
            <w:r>
              <w:rPr>
                <w:rFonts w:ascii="Times New Roman" w:eastAsia="Times New Roman" w:hAnsi="Times New Roman" w:cs="Times New Roman"/>
                <w:sz w:val="22"/>
                <w:szCs w:val="22"/>
              </w:rPr>
              <w:t>® exam, offered by Educational Testing Service (ETS).</w:t>
            </w:r>
            <w:r>
              <w:rPr>
                <w:rFonts w:ascii="Times New Roman" w:eastAsia="Times New Roman" w:hAnsi="Times New Roman" w:cs="Times New Roman"/>
                <w:color w:val="303030"/>
                <w:sz w:val="22"/>
                <w:szCs w:val="22"/>
              </w:rPr>
              <w:t xml:space="preserve"> Candidates who are seeking multiple endorsements have to pass the exam for each content area in order to be eligible f</w:t>
            </w:r>
            <w:r>
              <w:rPr>
                <w:rFonts w:ascii="Times New Roman" w:eastAsia="Times New Roman" w:hAnsi="Times New Roman" w:cs="Times New Roman"/>
                <w:color w:val="303030"/>
                <w:sz w:val="22"/>
                <w:szCs w:val="22"/>
              </w:rPr>
              <w:t>or recommendation for licensure.</w:t>
            </w:r>
          </w:p>
          <w:p w:rsidR="00E53683" w:rsidRDefault="00E53683">
            <w:pPr>
              <w:keepLines/>
              <w:rPr>
                <w:rFonts w:ascii="Times New Roman" w:eastAsia="Times New Roman" w:hAnsi="Times New Roman" w:cs="Times New Roman"/>
                <w:color w:val="303030"/>
                <w:sz w:val="22"/>
                <w:szCs w:val="22"/>
              </w:rPr>
            </w:pPr>
          </w:p>
          <w:p w:rsidR="00E53683" w:rsidRDefault="002974EE">
            <w:pPr>
              <w:keepLines/>
              <w:rPr>
                <w:rFonts w:ascii="Times New Roman" w:eastAsia="Times New Roman" w:hAnsi="Times New Roman" w:cs="Times New Roman"/>
                <w:color w:val="303030"/>
                <w:sz w:val="22"/>
                <w:szCs w:val="22"/>
              </w:rPr>
            </w:pPr>
            <w:r>
              <w:rPr>
                <w:rFonts w:ascii="Times New Roman" w:eastAsia="Times New Roman" w:hAnsi="Times New Roman" w:cs="Times New Roman"/>
                <w:sz w:val="22"/>
                <w:szCs w:val="22"/>
              </w:rPr>
              <w:t>Scores are set by TSPC (Minimum score 220) https://www.orela.nesinc.com/Home.aspx</w:t>
            </w:r>
          </w:p>
        </w:tc>
        <w:tc>
          <w:tcPr>
            <w:tcW w:w="4319" w:type="dxa"/>
            <w:shd w:val="clear" w:color="auto" w:fill="D0E0E3"/>
          </w:tcPr>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For elementary education candidates, EOU has a passing rate of 77% for subtest 1, while the state has a pass rate of 81%.  For subtest 2, EOU has a pass rate of 74% while the state has 88%.</w:t>
            </w:r>
          </w:p>
          <w:p w:rsidR="00E53683" w:rsidRDefault="00E53683">
            <w:pPr>
              <w:keepLines/>
              <w:rPr>
                <w:rFonts w:ascii="Times New Roman" w:eastAsia="Times New Roman" w:hAnsi="Times New Roman" w:cs="Times New Roman"/>
                <w:sz w:val="22"/>
                <w:szCs w:val="22"/>
              </w:rPr>
            </w:pPr>
          </w:p>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Our secondary candidate numbers are low in many content areas, so</w:t>
            </w:r>
            <w:r>
              <w:rPr>
                <w:rFonts w:ascii="Times New Roman" w:eastAsia="Times New Roman" w:hAnsi="Times New Roman" w:cs="Times New Roman"/>
                <w:sz w:val="22"/>
                <w:szCs w:val="22"/>
              </w:rPr>
              <w:t xml:space="preserve"> EOU can only report on endorsement areas with a large enough n.  For candidates taking the health exam, EOU has a pass rate of 90%, while the state pass rate is 98%.  The EOU pass rate for language arts is 100%, while the state is at 95%.  The EOU pass ra</w:t>
            </w:r>
            <w:r>
              <w:rPr>
                <w:rFonts w:ascii="Times New Roman" w:eastAsia="Times New Roman" w:hAnsi="Times New Roman" w:cs="Times New Roman"/>
                <w:sz w:val="22"/>
                <w:szCs w:val="22"/>
              </w:rPr>
              <w:t>te for physical education is 89%, while the state is at 92%.  The EOU pass rate for social sciences  is 64%, while the state is at 85%.</w:t>
            </w:r>
          </w:p>
          <w:p w:rsidR="00E53683" w:rsidRDefault="00E53683">
            <w:pPr>
              <w:keepLines/>
              <w:rPr>
                <w:rFonts w:ascii="Times New Roman" w:eastAsia="Times New Roman" w:hAnsi="Times New Roman" w:cs="Times New Roman"/>
                <w:sz w:val="22"/>
                <w:szCs w:val="22"/>
              </w:rPr>
            </w:pPr>
          </w:p>
          <w:p w:rsidR="00E53683" w:rsidRDefault="00E53683">
            <w:pPr>
              <w:keepLines/>
              <w:rPr>
                <w:rFonts w:ascii="Times New Roman" w:eastAsia="Times New Roman" w:hAnsi="Times New Roman" w:cs="Times New Roman"/>
                <w:sz w:val="22"/>
                <w:szCs w:val="22"/>
              </w:rPr>
            </w:pPr>
          </w:p>
        </w:tc>
      </w:tr>
      <w:tr w:rsidR="00E53683">
        <w:trPr>
          <w:trHeight w:val="21"/>
        </w:trPr>
        <w:tc>
          <w:tcPr>
            <w:tcW w:w="4318" w:type="dxa"/>
            <w:shd w:val="clear" w:color="auto" w:fill="D0E0E3"/>
          </w:tcPr>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Observation Forms - Danielson Framework for Teaching©</w:t>
            </w:r>
          </w:p>
        </w:tc>
        <w:tc>
          <w:tcPr>
            <w:tcW w:w="4318" w:type="dxa"/>
            <w:shd w:val="clear" w:color="auto" w:fill="D0E0E3"/>
          </w:tcPr>
          <w:p w:rsidR="00E53683" w:rsidRDefault="002974EE">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The University Supervisor Observations are used at two transiti</w:t>
            </w:r>
            <w:r>
              <w:rPr>
                <w:rFonts w:ascii="Times New Roman" w:eastAsia="Times New Roman" w:hAnsi="Times New Roman" w:cs="Times New Roman"/>
                <w:sz w:val="22"/>
                <w:szCs w:val="22"/>
              </w:rPr>
              <w:t>on points in program.  One observation is completed during late fall term (weeks 7-10) and is used for determining promotion to student teaching.  The remaining observations (four) are completed during the student teaching experience.  The schedule of when</w:t>
            </w:r>
            <w:r>
              <w:rPr>
                <w:rFonts w:ascii="Times New Roman" w:eastAsia="Times New Roman" w:hAnsi="Times New Roman" w:cs="Times New Roman"/>
                <w:sz w:val="22"/>
                <w:szCs w:val="22"/>
              </w:rPr>
              <w:t xml:space="preserve"> observations are due is provided (</w:t>
            </w:r>
            <w:hyperlink r:id="rId22">
              <w:r>
                <w:rPr>
                  <w:rFonts w:ascii="Times New Roman" w:eastAsia="Times New Roman" w:hAnsi="Times New Roman" w:cs="Times New Roman"/>
                  <w:color w:val="1155CC"/>
                  <w:sz w:val="22"/>
                  <w:szCs w:val="22"/>
                  <w:u w:val="single"/>
                </w:rPr>
                <w:t>UG</w:t>
              </w:r>
            </w:hyperlink>
            <w:r>
              <w:rPr>
                <w:rFonts w:ascii="Times New Roman" w:eastAsia="Times New Roman" w:hAnsi="Times New Roman" w:cs="Times New Roman"/>
                <w:sz w:val="22"/>
                <w:szCs w:val="22"/>
              </w:rPr>
              <w:t xml:space="preserve"> or </w:t>
            </w:r>
            <w:hyperlink r:id="rId23">
              <w:r>
                <w:rPr>
                  <w:rFonts w:ascii="Times New Roman" w:eastAsia="Times New Roman" w:hAnsi="Times New Roman" w:cs="Times New Roman"/>
                  <w:color w:val="1155CC"/>
                  <w:sz w:val="22"/>
                  <w:szCs w:val="22"/>
                  <w:u w:val="single"/>
                </w:rPr>
                <w:t>MAT</w:t>
              </w:r>
            </w:hyperlink>
            <w:r>
              <w:rPr>
                <w:rFonts w:ascii="Times New Roman" w:eastAsia="Times New Roman" w:hAnsi="Times New Roman" w:cs="Times New Roman"/>
                <w:sz w:val="22"/>
                <w:szCs w:val="22"/>
              </w:rPr>
              <w:t>).  </w:t>
            </w:r>
            <w:r>
              <w:rPr>
                <w:rFonts w:ascii="Times New Roman" w:eastAsia="Times New Roman" w:hAnsi="Times New Roman" w:cs="Times New Roman"/>
                <w:sz w:val="22"/>
                <w:szCs w:val="22"/>
              </w:rPr>
              <w:t xml:space="preserve"> The observations are also used to document teacher candidate development during the program towards College of Education, state, professional, and national standards  and are used to make improvements in program. This assessment is </w:t>
            </w:r>
            <w:hyperlink r:id="rId24">
              <w:r>
                <w:rPr>
                  <w:rFonts w:ascii="Times New Roman" w:eastAsia="Times New Roman" w:hAnsi="Times New Roman" w:cs="Times New Roman"/>
                  <w:color w:val="1155CC"/>
                  <w:sz w:val="22"/>
                  <w:szCs w:val="22"/>
                  <w:u w:val="single"/>
                </w:rPr>
                <w:t xml:space="preserve">aligned </w:t>
              </w:r>
            </w:hyperlink>
            <w:r>
              <w:rPr>
                <w:rFonts w:ascii="Times New Roman" w:eastAsia="Times New Roman" w:hAnsi="Times New Roman" w:cs="Times New Roman"/>
                <w:sz w:val="22"/>
                <w:szCs w:val="22"/>
              </w:rPr>
              <w:t xml:space="preserve">to the </w:t>
            </w:r>
            <w:r>
              <w:rPr>
                <w:rFonts w:ascii="Times New Roman" w:eastAsia="Times New Roman" w:hAnsi="Times New Roman" w:cs="Times New Roman"/>
                <w:sz w:val="22"/>
                <w:szCs w:val="22"/>
              </w:rPr>
              <w:lastRenderedPageBreak/>
              <w:t>College of Education, state, professional, and national standards.</w:t>
            </w:r>
          </w:p>
          <w:p w:rsidR="00E53683" w:rsidRDefault="00E53683">
            <w:pPr>
              <w:keepLines/>
              <w:rPr>
                <w:rFonts w:ascii="Times New Roman" w:eastAsia="Times New Roman" w:hAnsi="Times New Roman" w:cs="Times New Roman"/>
                <w:sz w:val="22"/>
                <w:szCs w:val="22"/>
              </w:rPr>
            </w:pPr>
          </w:p>
          <w:p w:rsidR="00E53683" w:rsidRDefault="00E53683">
            <w:pPr>
              <w:keepLines/>
              <w:rPr>
                <w:rFonts w:ascii="Times New Roman" w:eastAsia="Times New Roman" w:hAnsi="Times New Roman" w:cs="Times New Roman"/>
                <w:sz w:val="22"/>
                <w:szCs w:val="22"/>
              </w:rPr>
            </w:pPr>
          </w:p>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Winter Year 2:</w:t>
            </w:r>
          </w:p>
          <w:p w:rsidR="00E53683" w:rsidRDefault="002974EE">
            <w:pPr>
              <w:keepLines/>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#1 - minimum of 15 pts</w:t>
            </w:r>
          </w:p>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Spring Year 2:</w:t>
            </w:r>
          </w:p>
          <w:p w:rsidR="00E53683" w:rsidRDefault="002974EE">
            <w:pPr>
              <w:keepLines/>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#2 - minimum of 16 pts</w:t>
            </w:r>
          </w:p>
          <w:p w:rsidR="00E53683" w:rsidRDefault="002974EE">
            <w:pPr>
              <w:keepLines/>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#3 - minimum of 17 pts</w:t>
            </w:r>
          </w:p>
          <w:p w:rsidR="00E53683" w:rsidRDefault="002974EE">
            <w:pPr>
              <w:keepLines/>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#4 - minimum of 18 pts</w:t>
            </w:r>
          </w:p>
        </w:tc>
        <w:tc>
          <w:tcPr>
            <w:tcW w:w="4319" w:type="dxa"/>
            <w:shd w:val="clear" w:color="auto" w:fill="D0E0E3"/>
          </w:tcPr>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Minimum threshold for Observation #4 was 18 pts.</w:t>
            </w:r>
          </w:p>
          <w:p w:rsidR="00E53683" w:rsidRDefault="00E53683">
            <w:pPr>
              <w:keepLines/>
              <w:rPr>
                <w:rFonts w:ascii="Times New Roman" w:eastAsia="Times New Roman" w:hAnsi="Times New Roman" w:cs="Times New Roman"/>
                <w:sz w:val="22"/>
                <w:szCs w:val="22"/>
              </w:rPr>
            </w:pPr>
          </w:p>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MAT - ELE SC: </w:t>
            </w:r>
          </w:p>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100% met minimum threshold</w:t>
            </w:r>
          </w:p>
          <w:p w:rsidR="00E53683" w:rsidRDefault="00E53683">
            <w:pPr>
              <w:keepLines/>
              <w:rPr>
                <w:rFonts w:ascii="Times New Roman" w:eastAsia="Times New Roman" w:hAnsi="Times New Roman" w:cs="Times New Roman"/>
                <w:sz w:val="22"/>
                <w:szCs w:val="22"/>
              </w:rPr>
            </w:pPr>
          </w:p>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MAT - ELE:</w:t>
            </w:r>
          </w:p>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93% met minimum threshold</w:t>
            </w:r>
          </w:p>
          <w:p w:rsidR="00E53683" w:rsidRDefault="00E53683">
            <w:pPr>
              <w:keepLines/>
              <w:rPr>
                <w:rFonts w:ascii="Times New Roman" w:eastAsia="Times New Roman" w:hAnsi="Times New Roman" w:cs="Times New Roman"/>
                <w:sz w:val="22"/>
                <w:szCs w:val="22"/>
              </w:rPr>
            </w:pPr>
          </w:p>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MAT - SEC:</w:t>
            </w:r>
          </w:p>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100% met minimum threshold</w:t>
            </w:r>
          </w:p>
          <w:p w:rsidR="00E53683" w:rsidRDefault="00E53683">
            <w:pPr>
              <w:keepLines/>
              <w:rPr>
                <w:rFonts w:ascii="Times New Roman" w:eastAsia="Times New Roman" w:hAnsi="Times New Roman" w:cs="Times New Roman"/>
                <w:sz w:val="22"/>
                <w:szCs w:val="22"/>
              </w:rPr>
            </w:pPr>
          </w:p>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UG - ELE:</w:t>
            </w:r>
          </w:p>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97% met minimum threshold</w:t>
            </w:r>
          </w:p>
        </w:tc>
      </w:tr>
      <w:tr w:rsidR="00E53683">
        <w:trPr>
          <w:trHeight w:val="21"/>
        </w:trPr>
        <w:tc>
          <w:tcPr>
            <w:tcW w:w="4318" w:type="dxa"/>
            <w:shd w:val="clear" w:color="auto" w:fill="D0E0E3"/>
          </w:tcPr>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Evaluation </w:t>
            </w:r>
            <w:r>
              <w:rPr>
                <w:rFonts w:ascii="Times New Roman" w:eastAsia="Times New Roman" w:hAnsi="Times New Roman" w:cs="Times New Roman"/>
                <w:sz w:val="22"/>
                <w:szCs w:val="22"/>
              </w:rPr>
              <w:t>Student Teaching Evaluations - Candidate Preservice Assessment of Student Teaching (CPAST)</w:t>
            </w:r>
          </w:p>
        </w:tc>
        <w:tc>
          <w:tcPr>
            <w:tcW w:w="4318" w:type="dxa"/>
            <w:shd w:val="clear" w:color="auto" w:fill="D0E0E3"/>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CPAST is completed twice (midterm and final) during the student teaching experience.  The Mentor Teacher, Teacher Candidate, and University Supervisor each come </w:t>
            </w:r>
            <w:r>
              <w:rPr>
                <w:rFonts w:ascii="Times New Roman" w:eastAsia="Times New Roman" w:hAnsi="Times New Roman" w:cs="Times New Roman"/>
                <w:sz w:val="22"/>
                <w:szCs w:val="22"/>
              </w:rPr>
              <w:t>to a scheduled triangle meeting each with the rubrics completed and evidence identified.  During the triangle meeting, all evidence is presented from each participant, and a consensus score is determined and recorded.  </w:t>
            </w:r>
          </w:p>
          <w:p w:rsidR="00E53683" w:rsidRDefault="00E53683">
            <w:pPr>
              <w:rPr>
                <w:rFonts w:ascii="Times New Roman" w:eastAsia="Times New Roman" w:hAnsi="Times New Roman" w:cs="Times New Roman"/>
                <w:sz w:val="22"/>
                <w:szCs w:val="22"/>
              </w:rPr>
            </w:pP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evaluation tool is used to moni</w:t>
            </w:r>
            <w:r>
              <w:rPr>
                <w:rFonts w:ascii="Times New Roman" w:eastAsia="Times New Roman" w:hAnsi="Times New Roman" w:cs="Times New Roman"/>
                <w:sz w:val="22"/>
                <w:szCs w:val="22"/>
              </w:rPr>
              <w:t>tor development through the student teaching experience.  In addition, the CPAST is used to document teacher candidate development during student teaching towards College of Education, state, professional, and national standards,  and used to make improvem</w:t>
            </w:r>
            <w:r>
              <w:rPr>
                <w:rFonts w:ascii="Times New Roman" w:eastAsia="Times New Roman" w:hAnsi="Times New Roman" w:cs="Times New Roman"/>
                <w:sz w:val="22"/>
                <w:szCs w:val="22"/>
              </w:rPr>
              <w:t xml:space="preserve">ents in the program. This assessment is </w:t>
            </w:r>
            <w:hyperlink r:id="rId25">
              <w:r>
                <w:rPr>
                  <w:rFonts w:ascii="Times New Roman" w:eastAsia="Times New Roman" w:hAnsi="Times New Roman" w:cs="Times New Roman"/>
                  <w:sz w:val="22"/>
                  <w:szCs w:val="22"/>
                  <w:u w:val="single"/>
                </w:rPr>
                <w:t xml:space="preserve">aligned </w:t>
              </w:r>
            </w:hyperlink>
            <w:r>
              <w:rPr>
                <w:rFonts w:ascii="Times New Roman" w:eastAsia="Times New Roman" w:hAnsi="Times New Roman" w:cs="Times New Roman"/>
                <w:sz w:val="22"/>
                <w:szCs w:val="22"/>
              </w:rPr>
              <w:t>to the College of Education, state, professional, and national standards.</w:t>
            </w:r>
          </w:p>
          <w:p w:rsidR="00E53683" w:rsidRDefault="00E53683">
            <w:pPr>
              <w:rPr>
                <w:rFonts w:ascii="Times New Roman" w:eastAsia="Times New Roman" w:hAnsi="Times New Roman" w:cs="Times New Roman"/>
                <w:sz w:val="22"/>
                <w:szCs w:val="22"/>
              </w:rPr>
            </w:pP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Winter - minimum of 35 pts</w:t>
            </w: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Spring - </w:t>
            </w:r>
            <w:r>
              <w:rPr>
                <w:rFonts w:ascii="Times New Roman" w:eastAsia="Times New Roman" w:hAnsi="Times New Roman" w:cs="Times New Roman"/>
                <w:sz w:val="22"/>
                <w:szCs w:val="22"/>
              </w:rPr>
              <w:t>minimum of 38 pts</w:t>
            </w:r>
          </w:p>
        </w:tc>
        <w:tc>
          <w:tcPr>
            <w:tcW w:w="4319" w:type="dxa"/>
            <w:shd w:val="clear" w:color="auto" w:fill="D0E0E3"/>
          </w:tcPr>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Minimum threshold for the final student teaching evaluation was 38 pts.</w:t>
            </w:r>
          </w:p>
          <w:p w:rsidR="00E53683" w:rsidRDefault="00E53683">
            <w:pPr>
              <w:keepLines/>
              <w:rPr>
                <w:rFonts w:ascii="Times New Roman" w:eastAsia="Times New Roman" w:hAnsi="Times New Roman" w:cs="Times New Roman"/>
                <w:sz w:val="22"/>
                <w:szCs w:val="22"/>
              </w:rPr>
            </w:pPr>
          </w:p>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MAT - ELE (SC):</w:t>
            </w:r>
          </w:p>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100% met minimum threshold</w:t>
            </w:r>
          </w:p>
          <w:p w:rsidR="00E53683" w:rsidRDefault="00E53683">
            <w:pPr>
              <w:keepLines/>
              <w:rPr>
                <w:rFonts w:ascii="Times New Roman" w:eastAsia="Times New Roman" w:hAnsi="Times New Roman" w:cs="Times New Roman"/>
                <w:sz w:val="22"/>
                <w:szCs w:val="22"/>
              </w:rPr>
            </w:pPr>
          </w:p>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MAT - ELE:</w:t>
            </w:r>
          </w:p>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94% met minimum threshold</w:t>
            </w:r>
          </w:p>
          <w:p w:rsidR="00E53683" w:rsidRDefault="00E53683">
            <w:pPr>
              <w:keepLines/>
              <w:rPr>
                <w:rFonts w:ascii="Times New Roman" w:eastAsia="Times New Roman" w:hAnsi="Times New Roman" w:cs="Times New Roman"/>
                <w:sz w:val="22"/>
                <w:szCs w:val="22"/>
              </w:rPr>
            </w:pPr>
          </w:p>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MAT - SEC:</w:t>
            </w:r>
          </w:p>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100% met minimum threshold</w:t>
            </w:r>
          </w:p>
          <w:p w:rsidR="00E53683" w:rsidRDefault="00E53683">
            <w:pPr>
              <w:keepLines/>
              <w:rPr>
                <w:rFonts w:ascii="Times New Roman" w:eastAsia="Times New Roman" w:hAnsi="Times New Roman" w:cs="Times New Roman"/>
                <w:sz w:val="22"/>
                <w:szCs w:val="22"/>
              </w:rPr>
            </w:pPr>
          </w:p>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UG - ELE:</w:t>
            </w:r>
          </w:p>
          <w:p w:rsidR="00E53683" w:rsidRDefault="002974EE">
            <w:pPr>
              <w:keepLines/>
              <w:rPr>
                <w:rFonts w:ascii="Times New Roman" w:eastAsia="Times New Roman" w:hAnsi="Times New Roman" w:cs="Times New Roman"/>
                <w:sz w:val="22"/>
                <w:szCs w:val="22"/>
              </w:rPr>
            </w:pPr>
            <w:r>
              <w:rPr>
                <w:rFonts w:ascii="Times New Roman" w:eastAsia="Times New Roman" w:hAnsi="Times New Roman" w:cs="Times New Roman"/>
                <w:sz w:val="22"/>
                <w:szCs w:val="22"/>
              </w:rPr>
              <w:t>97% met minimum threshold</w:t>
            </w:r>
          </w:p>
        </w:tc>
      </w:tr>
    </w:tbl>
    <w:p w:rsidR="00E53683" w:rsidRDefault="00E53683">
      <w:pPr>
        <w:spacing w:after="200"/>
        <w:rPr>
          <w:b/>
        </w:rPr>
      </w:pPr>
    </w:p>
    <w:p w:rsidR="00E53683" w:rsidRDefault="002974EE">
      <w:pPr>
        <w:keepNext/>
        <w:spacing w:after="120"/>
        <w:rPr>
          <w:b/>
        </w:rPr>
      </w:pPr>
      <w:r>
        <w:rPr>
          <w:b/>
        </w:rPr>
        <w:lastRenderedPageBreak/>
        <w:t>Table 4. Expectations and Performance on Standard 2: Completer Professional Competence and Growth</w:t>
      </w:r>
    </w:p>
    <w:tbl>
      <w:tblPr>
        <w:tblStyle w:val="affff"/>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8"/>
        <w:gridCol w:w="4318"/>
        <w:gridCol w:w="4319"/>
      </w:tblGrid>
      <w:tr w:rsidR="00E53683">
        <w:trPr>
          <w:trHeight w:val="420"/>
        </w:trPr>
        <w:tc>
          <w:tcPr>
            <w:tcW w:w="4318" w:type="dxa"/>
            <w:shd w:val="clear" w:color="auto" w:fill="FFFFFF"/>
          </w:tcPr>
          <w:p w:rsidR="00E53683" w:rsidRDefault="002974EE">
            <w:pPr>
              <w:rPr>
                <w:rFonts w:ascii="Arial" w:eastAsia="Arial" w:hAnsi="Arial" w:cs="Arial"/>
                <w:b/>
                <w:sz w:val="22"/>
                <w:szCs w:val="22"/>
              </w:rPr>
            </w:pPr>
            <w:r>
              <w:rPr>
                <w:rFonts w:ascii="Arial" w:eastAsia="Arial" w:hAnsi="Arial" w:cs="Arial"/>
                <w:b/>
                <w:sz w:val="22"/>
                <w:szCs w:val="22"/>
              </w:rPr>
              <w:t>Provider-Selected Measures</w:t>
            </w:r>
          </w:p>
        </w:tc>
        <w:tc>
          <w:tcPr>
            <w:tcW w:w="4318" w:type="dxa"/>
            <w:shd w:val="clear" w:color="auto" w:fill="FFFFFF"/>
          </w:tcPr>
          <w:p w:rsidR="00E53683" w:rsidRDefault="002974EE">
            <w:pPr>
              <w:rPr>
                <w:rFonts w:ascii="Arial" w:eastAsia="Arial" w:hAnsi="Arial" w:cs="Arial"/>
                <w:b/>
                <w:sz w:val="22"/>
                <w:szCs w:val="22"/>
              </w:rPr>
            </w:pPr>
            <w:r>
              <w:rPr>
                <w:rFonts w:ascii="Arial" w:eastAsia="Arial" w:hAnsi="Arial" w:cs="Arial"/>
                <w:b/>
                <w:sz w:val="22"/>
                <w:szCs w:val="22"/>
              </w:rPr>
              <w:t>Explanation of Performance Expectation</w:t>
            </w:r>
          </w:p>
        </w:tc>
        <w:tc>
          <w:tcPr>
            <w:tcW w:w="4319" w:type="dxa"/>
            <w:shd w:val="clear" w:color="auto" w:fill="FFFFFF"/>
          </w:tcPr>
          <w:p w:rsidR="00E53683" w:rsidRDefault="002974EE">
            <w:pPr>
              <w:rPr>
                <w:rFonts w:ascii="Arial" w:eastAsia="Arial" w:hAnsi="Arial" w:cs="Arial"/>
                <w:b/>
                <w:sz w:val="22"/>
                <w:szCs w:val="22"/>
              </w:rPr>
            </w:pPr>
            <w:r>
              <w:rPr>
                <w:rFonts w:ascii="Arial" w:eastAsia="Arial" w:hAnsi="Arial" w:cs="Arial"/>
                <w:b/>
                <w:sz w:val="22"/>
                <w:szCs w:val="22"/>
              </w:rPr>
              <w:t>Level or Extent of Success in Meeting the Expectation</w:t>
            </w:r>
          </w:p>
        </w:tc>
      </w:tr>
      <w:tr w:rsidR="00E53683">
        <w:trPr>
          <w:trHeight w:val="61"/>
        </w:trPr>
        <w:tc>
          <w:tcPr>
            <w:tcW w:w="4318" w:type="dxa"/>
            <w:shd w:val="clear" w:color="auto" w:fill="D0E0E3"/>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Alumni Survey</w:t>
            </w:r>
          </w:p>
        </w:tc>
        <w:tc>
          <w:tcPr>
            <w:tcW w:w="4318" w:type="dxa"/>
            <w:shd w:val="clear" w:color="auto" w:fill="D0E0E3"/>
          </w:tcPr>
          <w:p w:rsidR="00E53683" w:rsidRDefault="002974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Public and nonprofit independent instructions, participants of OACTE, contracted to develop a survey (2014) for beginning teachers and their supervisors.  </w:t>
            </w:r>
          </w:p>
          <w:p w:rsidR="00E53683" w:rsidRDefault="002974EE">
            <w:pPr>
              <w:pBdr>
                <w:top w:val="none" w:sz="0" w:space="0" w:color="auto"/>
                <w:left w:val="none" w:sz="0" w:space="0" w:color="auto"/>
                <w:bottom w:val="none" w:sz="0" w:space="0" w:color="auto"/>
                <w:right w:val="none" w:sz="0" w:space="0" w:color="auto"/>
                <w:between w:val="none" w:sz="0" w:space="0" w:color="auto"/>
              </w:pBdr>
              <w:spacing w:before="280" w:after="280"/>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The survey instrument measures teachers’ preparation for the </w:t>
            </w:r>
            <w:proofErr w:type="spellStart"/>
            <w:r>
              <w:rPr>
                <w:rFonts w:ascii="Times New Roman" w:eastAsia="Times New Roman" w:hAnsi="Times New Roman" w:cs="Times New Roman"/>
                <w:color w:val="0E101A"/>
                <w:sz w:val="22"/>
                <w:szCs w:val="22"/>
              </w:rPr>
              <w:t>InTASC</w:t>
            </w:r>
            <w:proofErr w:type="spellEnd"/>
            <w:r>
              <w:rPr>
                <w:rFonts w:ascii="Times New Roman" w:eastAsia="Times New Roman" w:hAnsi="Times New Roman" w:cs="Times New Roman"/>
                <w:color w:val="0E101A"/>
                <w:sz w:val="22"/>
                <w:szCs w:val="22"/>
              </w:rPr>
              <w:t xml:space="preserve"> standards: Learner and Learning,</w:t>
            </w:r>
            <w:r>
              <w:rPr>
                <w:rFonts w:ascii="Times New Roman" w:eastAsia="Times New Roman" w:hAnsi="Times New Roman" w:cs="Times New Roman"/>
                <w:color w:val="0E101A"/>
                <w:sz w:val="22"/>
                <w:szCs w:val="22"/>
              </w:rPr>
              <w:t xml:space="preserve"> Content Knowledge, Instructional Practice, and Professional Responsibility. Teachers and</w:t>
            </w:r>
            <w:r>
              <w:rPr>
                <w:rFonts w:ascii="Times New Roman" w:eastAsia="Times New Roman" w:hAnsi="Times New Roman" w:cs="Times New Roman"/>
                <w:color w:val="0E101A"/>
              </w:rPr>
              <w:t xml:space="preserve"> administrators </w:t>
            </w:r>
            <w:r>
              <w:rPr>
                <w:rFonts w:ascii="Times New Roman" w:eastAsia="Times New Roman" w:hAnsi="Times New Roman" w:cs="Times New Roman"/>
                <w:color w:val="0E101A"/>
                <w:sz w:val="22"/>
                <w:szCs w:val="22"/>
              </w:rPr>
              <w:t>evaluated their pre-service preparation by rating each of the 23 items on a scale of one to ten, with “one” meaning they had no preparation and “ten” m</w:t>
            </w:r>
            <w:r>
              <w:rPr>
                <w:rFonts w:ascii="Times New Roman" w:eastAsia="Times New Roman" w:hAnsi="Times New Roman" w:cs="Times New Roman"/>
                <w:color w:val="0E101A"/>
                <w:sz w:val="22"/>
                <w:szCs w:val="22"/>
              </w:rPr>
              <w:t>eaning they started their jobs with expert-level skill, with very little room for improvement.</w:t>
            </w:r>
          </w:p>
          <w:p w:rsidR="00E53683" w:rsidRDefault="002974EE">
            <w:pPr>
              <w:keepLines/>
              <w:rPr>
                <w:rFonts w:ascii="Times New Roman" w:eastAsia="Times New Roman" w:hAnsi="Times New Roman" w:cs="Times New Roman"/>
                <w:color w:val="0E101A"/>
                <w:sz w:val="22"/>
                <w:szCs w:val="22"/>
              </w:rPr>
            </w:pPr>
            <w:r>
              <w:rPr>
                <w:rFonts w:ascii="Times New Roman" w:eastAsia="Times New Roman" w:hAnsi="Times New Roman" w:cs="Times New Roman"/>
                <w:sz w:val="22"/>
                <w:szCs w:val="22"/>
              </w:rPr>
              <w:t>Provided to candidates, who completed their preparation at an OACTE participating university, were recommended for licensure, were working in Oregon public schools and were in their first three years of teaching.</w:t>
            </w:r>
          </w:p>
          <w:p w:rsidR="00E53683" w:rsidRDefault="00E53683">
            <w:pPr>
              <w:rPr>
                <w:rFonts w:ascii="Arial" w:eastAsia="Arial" w:hAnsi="Arial" w:cs="Arial"/>
                <w:sz w:val="22"/>
                <w:szCs w:val="22"/>
              </w:rPr>
            </w:pPr>
          </w:p>
        </w:tc>
        <w:tc>
          <w:tcPr>
            <w:tcW w:w="4319" w:type="dxa"/>
            <w:shd w:val="clear" w:color="auto" w:fill="D0E0E3"/>
          </w:tcPr>
          <w:p w:rsidR="00E53683" w:rsidRDefault="002974EE">
            <w:pPr>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rPr>
              <w:t>I</w:t>
            </w:r>
            <w:r>
              <w:rPr>
                <w:rFonts w:ascii="Times New Roman" w:eastAsia="Times New Roman" w:hAnsi="Times New Roman" w:cs="Times New Roman"/>
                <w:sz w:val="21"/>
                <w:szCs w:val="21"/>
              </w:rPr>
              <w:t>n analysis of our 20-21 results, we had 1</w:t>
            </w:r>
            <w:r>
              <w:rPr>
                <w:rFonts w:ascii="Times New Roman" w:eastAsia="Times New Roman" w:hAnsi="Times New Roman" w:cs="Times New Roman"/>
                <w:sz w:val="21"/>
                <w:szCs w:val="21"/>
              </w:rPr>
              <w:t xml:space="preserve">5 candidates respond to the survey. Of the respondents, 87%, (13) were hired as </w:t>
            </w:r>
            <w:proofErr w:type="gramStart"/>
            <w:r>
              <w:rPr>
                <w:rFonts w:ascii="Times New Roman" w:eastAsia="Times New Roman" w:hAnsi="Times New Roman" w:cs="Times New Roman"/>
                <w:sz w:val="21"/>
                <w:szCs w:val="21"/>
              </w:rPr>
              <w:t>full time</w:t>
            </w:r>
            <w:proofErr w:type="gramEnd"/>
            <w:r>
              <w:rPr>
                <w:rFonts w:ascii="Times New Roman" w:eastAsia="Times New Roman" w:hAnsi="Times New Roman" w:cs="Times New Roman"/>
                <w:sz w:val="21"/>
                <w:szCs w:val="21"/>
              </w:rPr>
              <w:t xml:space="preserve"> teachers when they were completing the survey.  Of the respondents 10 completed in 2019 and 5 completed in 2020.  The survey was on a </w:t>
            </w:r>
            <w:proofErr w:type="gramStart"/>
            <w:r>
              <w:rPr>
                <w:rFonts w:ascii="Times New Roman" w:eastAsia="Times New Roman" w:hAnsi="Times New Roman" w:cs="Times New Roman"/>
                <w:sz w:val="21"/>
                <w:szCs w:val="21"/>
              </w:rPr>
              <w:t>1-10 point</w:t>
            </w:r>
            <w:proofErr w:type="gramEnd"/>
            <w:r>
              <w:rPr>
                <w:rFonts w:ascii="Times New Roman" w:eastAsia="Times New Roman" w:hAnsi="Times New Roman" w:cs="Times New Roman"/>
                <w:sz w:val="21"/>
                <w:szCs w:val="21"/>
              </w:rPr>
              <w:t xml:space="preserve"> scale. In regards to </w:t>
            </w:r>
            <w:r>
              <w:rPr>
                <w:rFonts w:ascii="Times New Roman" w:eastAsia="Times New Roman" w:hAnsi="Times New Roman" w:cs="Times New Roman"/>
                <w:sz w:val="21"/>
                <w:szCs w:val="21"/>
              </w:rPr>
              <w:t>learners and learning, the area of highest satisfaction was in Providing students equitable opportunities to learn by treating them as individuals (7.7).  The area of lowest satisfaction was Incorporate language development strategies to make content acces</w:t>
            </w:r>
            <w:r>
              <w:rPr>
                <w:rFonts w:ascii="Times New Roman" w:eastAsia="Times New Roman" w:hAnsi="Times New Roman" w:cs="Times New Roman"/>
                <w:sz w:val="21"/>
                <w:szCs w:val="21"/>
              </w:rPr>
              <w:t>sible to English Language Learners (6.4).  For Content knowledge, the area of highest satisfaction was Develop activities in which learners work together to solve problems (7.3).  The area of lowest satisfaction was Assist students in analyzing subject-spe</w:t>
            </w:r>
            <w:r>
              <w:rPr>
                <w:rFonts w:ascii="Times New Roman" w:eastAsia="Times New Roman" w:hAnsi="Times New Roman" w:cs="Times New Roman"/>
                <w:sz w:val="21"/>
                <w:szCs w:val="21"/>
              </w:rPr>
              <w:t xml:space="preserve">cific concepts from multiple perspectives (6.5).  For instructional practice, the area of highest satisfaction </w:t>
            </w:r>
            <w:proofErr w:type="gramStart"/>
            <w:r>
              <w:rPr>
                <w:rFonts w:ascii="Times New Roman" w:eastAsia="Times New Roman" w:hAnsi="Times New Roman" w:cs="Times New Roman"/>
                <w:sz w:val="21"/>
                <w:szCs w:val="21"/>
              </w:rPr>
              <w:t>were</w:t>
            </w:r>
            <w:proofErr w:type="gramEnd"/>
            <w:r>
              <w:rPr>
                <w:rFonts w:ascii="Times New Roman" w:eastAsia="Times New Roman" w:hAnsi="Times New Roman" w:cs="Times New Roman"/>
                <w:sz w:val="21"/>
                <w:szCs w:val="21"/>
              </w:rPr>
              <w:t xml:space="preserve"> Conduct a variety of standards-based formative and summative assessments (7.9) and Use technology to enhance instruction (7.9).  The area of</w:t>
            </w:r>
            <w:r>
              <w:rPr>
                <w:rFonts w:ascii="Times New Roman" w:eastAsia="Times New Roman" w:hAnsi="Times New Roman" w:cs="Times New Roman"/>
                <w:sz w:val="21"/>
                <w:szCs w:val="21"/>
              </w:rPr>
              <w:t xml:space="preserve"> lowest satisfaction was Deliver research-based, interdisciplinary instruction (6.5).  For Professional Responsibility,  the area of highest satisfaction was Demonstrate respect for learners and families, even when they are not in your presence (7.9).  The</w:t>
            </w:r>
            <w:r>
              <w:rPr>
                <w:rFonts w:ascii="Times New Roman" w:eastAsia="Times New Roman" w:hAnsi="Times New Roman" w:cs="Times New Roman"/>
                <w:sz w:val="21"/>
                <w:szCs w:val="21"/>
              </w:rPr>
              <w:t xml:space="preserve"> area of lowest satisfaction Develop connections to community resources (5.9).</w:t>
            </w:r>
          </w:p>
        </w:tc>
      </w:tr>
      <w:tr w:rsidR="00E53683">
        <w:trPr>
          <w:trHeight w:val="21"/>
        </w:trPr>
        <w:tc>
          <w:tcPr>
            <w:tcW w:w="4318" w:type="dxa"/>
            <w:shd w:val="clear" w:color="auto" w:fill="D0E0E3"/>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Employer Survey</w:t>
            </w:r>
          </w:p>
        </w:tc>
        <w:tc>
          <w:tcPr>
            <w:tcW w:w="4318" w:type="dxa"/>
            <w:shd w:val="clear" w:color="auto" w:fill="D0E0E3"/>
          </w:tcPr>
          <w:p w:rsidR="00E53683" w:rsidRDefault="002974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Public and nonprofit independent instructions, participants of OACTE, contracted to develop a survey (2014) for beginning teachers and their supervisors.  </w:t>
            </w:r>
          </w:p>
          <w:p w:rsidR="00E53683" w:rsidRDefault="002974EE">
            <w:pPr>
              <w:pBdr>
                <w:top w:val="none" w:sz="0" w:space="0" w:color="auto"/>
                <w:left w:val="none" w:sz="0" w:space="0" w:color="auto"/>
                <w:bottom w:val="none" w:sz="0" w:space="0" w:color="auto"/>
                <w:right w:val="none" w:sz="0" w:space="0" w:color="auto"/>
                <w:between w:val="none" w:sz="0" w:space="0" w:color="auto"/>
              </w:pBdr>
              <w:spacing w:before="280" w:after="280"/>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The survey instrument measures teachers’ preparation for the </w:t>
            </w:r>
            <w:proofErr w:type="spellStart"/>
            <w:r>
              <w:rPr>
                <w:rFonts w:ascii="Times New Roman" w:eastAsia="Times New Roman" w:hAnsi="Times New Roman" w:cs="Times New Roman"/>
                <w:color w:val="0E101A"/>
                <w:sz w:val="22"/>
                <w:szCs w:val="22"/>
              </w:rPr>
              <w:t>InTASC</w:t>
            </w:r>
            <w:proofErr w:type="spellEnd"/>
            <w:r>
              <w:rPr>
                <w:rFonts w:ascii="Times New Roman" w:eastAsia="Times New Roman" w:hAnsi="Times New Roman" w:cs="Times New Roman"/>
                <w:color w:val="0E101A"/>
                <w:sz w:val="22"/>
                <w:szCs w:val="22"/>
              </w:rPr>
              <w:t xml:space="preserve"> standards: Learner and Learning, Content Knowledge, Instructional Practice, and Professional Responsibility. Teachers and administrators evaluated their pre-service preparation by rating e</w:t>
            </w:r>
            <w:r>
              <w:rPr>
                <w:rFonts w:ascii="Times New Roman" w:eastAsia="Times New Roman" w:hAnsi="Times New Roman" w:cs="Times New Roman"/>
                <w:color w:val="0E101A"/>
                <w:sz w:val="22"/>
                <w:szCs w:val="22"/>
              </w:rPr>
              <w:t>ach of the 23 items on a scale of one to ten, with “one” meaning they had no preparation and “ten” meaning they started their jobs with expert-level skill, with very little room for improvement.</w:t>
            </w:r>
          </w:p>
          <w:p w:rsidR="00E53683" w:rsidRDefault="002974EE">
            <w:pPr>
              <w:keepLines/>
              <w:rPr>
                <w:rFonts w:ascii="Times New Roman" w:eastAsia="Times New Roman" w:hAnsi="Times New Roman" w:cs="Times New Roman"/>
                <w:color w:val="0E101A"/>
                <w:sz w:val="22"/>
                <w:szCs w:val="22"/>
              </w:rPr>
            </w:pPr>
            <w:r>
              <w:rPr>
                <w:rFonts w:ascii="Times New Roman" w:eastAsia="Times New Roman" w:hAnsi="Times New Roman" w:cs="Times New Roman"/>
                <w:sz w:val="22"/>
                <w:szCs w:val="22"/>
              </w:rPr>
              <w:t>Provided to employers of candidates who completed their preparation at an OACTE participating university, were recommended for licensure, were working in Oregon public schools and were in their first three years of teaching.</w:t>
            </w:r>
          </w:p>
        </w:tc>
        <w:tc>
          <w:tcPr>
            <w:tcW w:w="4319" w:type="dxa"/>
            <w:shd w:val="clear" w:color="auto" w:fill="D0E0E3"/>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EOU is waiting for results from</w:t>
            </w:r>
            <w:r>
              <w:rPr>
                <w:rFonts w:ascii="Times New Roman" w:eastAsia="Times New Roman" w:hAnsi="Times New Roman" w:cs="Times New Roman"/>
                <w:sz w:val="22"/>
                <w:szCs w:val="22"/>
              </w:rPr>
              <w:t xml:space="preserve"> the survey firm that is hired through OACTE for this report.  However, we are still obtaining employer information during our advisory council meetings. </w:t>
            </w:r>
          </w:p>
          <w:p w:rsidR="00E53683" w:rsidRDefault="00E53683">
            <w:pPr>
              <w:rPr>
                <w:rFonts w:ascii="Times New Roman" w:eastAsia="Times New Roman" w:hAnsi="Times New Roman" w:cs="Times New Roman"/>
                <w:sz w:val="22"/>
                <w:szCs w:val="22"/>
                <w:highlight w:val="yellow"/>
              </w:rPr>
            </w:pPr>
          </w:p>
        </w:tc>
      </w:tr>
      <w:tr w:rsidR="00E53683">
        <w:trPr>
          <w:trHeight w:val="21"/>
        </w:trPr>
        <w:tc>
          <w:tcPr>
            <w:tcW w:w="4318" w:type="dxa"/>
            <w:shd w:val="clear" w:color="auto" w:fill="D0E0E3"/>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COE Exit Survey </w:t>
            </w:r>
          </w:p>
        </w:tc>
        <w:tc>
          <w:tcPr>
            <w:tcW w:w="4318" w:type="dxa"/>
            <w:shd w:val="clear" w:color="auto" w:fill="D0E0E3"/>
          </w:tcPr>
          <w:p w:rsidR="00E53683" w:rsidRDefault="002974E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E101A"/>
                <w:sz w:val="22"/>
                <w:szCs w:val="22"/>
              </w:rPr>
            </w:pPr>
            <w:r>
              <w:rPr>
                <w:rFonts w:ascii="Times New Roman" w:eastAsia="Times New Roman" w:hAnsi="Times New Roman" w:cs="Times New Roman"/>
                <w:color w:val="0E101A"/>
                <w:sz w:val="22"/>
                <w:szCs w:val="22"/>
              </w:rPr>
              <w:t xml:space="preserve">Candidates are provided the Exit Survey at the completion of the program in an effort to gain understanding of their perspective of their experience of the program components. </w:t>
            </w:r>
          </w:p>
        </w:tc>
        <w:tc>
          <w:tcPr>
            <w:tcW w:w="4319" w:type="dxa"/>
            <w:shd w:val="clear" w:color="auto" w:fill="D0E0E3"/>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Across the data collected in the completer survey, all candidates (100%) stated</w:t>
            </w:r>
            <w:r>
              <w:rPr>
                <w:rFonts w:ascii="Times New Roman" w:eastAsia="Times New Roman" w:hAnsi="Times New Roman" w:cs="Times New Roman"/>
                <w:sz w:val="22"/>
                <w:szCs w:val="22"/>
              </w:rPr>
              <w:t xml:space="preserve"> the program as prepared or mostly prepared in the following areas: Analyze common core standards to understand and teach disciplinary content and Conduct a variety of standards-based formative and summative assessments.  The following three areas received</w:t>
            </w:r>
            <w:r>
              <w:rPr>
                <w:rFonts w:ascii="Times New Roman" w:eastAsia="Times New Roman" w:hAnsi="Times New Roman" w:cs="Times New Roman"/>
                <w:sz w:val="22"/>
                <w:szCs w:val="22"/>
              </w:rPr>
              <w:t xml:space="preserve"> the most scores as unprepared and mostly prepared with 8, 7, and 8 respectively: Engage with families about student progress; participate in the school community to get to know </w:t>
            </w:r>
            <w:r>
              <w:rPr>
                <w:rFonts w:ascii="Times New Roman" w:eastAsia="Times New Roman" w:hAnsi="Times New Roman" w:cs="Times New Roman"/>
                <w:sz w:val="22"/>
                <w:szCs w:val="22"/>
              </w:rPr>
              <w:lastRenderedPageBreak/>
              <w:t>stakeholders, i.e. administrators, staff, parents and community members; and S</w:t>
            </w:r>
            <w:r>
              <w:rPr>
                <w:rFonts w:ascii="Times New Roman" w:eastAsia="Times New Roman" w:hAnsi="Times New Roman" w:cs="Times New Roman"/>
                <w:sz w:val="22"/>
                <w:szCs w:val="22"/>
              </w:rPr>
              <w:t>upport students' growth in global perspective.</w:t>
            </w:r>
          </w:p>
          <w:p w:rsidR="00E53683" w:rsidRDefault="00E53683">
            <w:pPr>
              <w:rPr>
                <w:rFonts w:ascii="Times New Roman" w:eastAsia="Times New Roman" w:hAnsi="Times New Roman" w:cs="Times New Roman"/>
                <w:sz w:val="22"/>
                <w:szCs w:val="22"/>
              </w:rPr>
            </w:pP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Looking at an overall satisfaction of the programs, taking the overall number of times completers indicated prepared or mostly prepared vs the number of times they reported unprepared and mostly prepared, </w:t>
            </w:r>
            <w:proofErr w:type="spellStart"/>
            <w:r>
              <w:rPr>
                <w:rFonts w:ascii="Times New Roman" w:eastAsia="Times New Roman" w:hAnsi="Times New Roman" w:cs="Times New Roman"/>
                <w:sz w:val="22"/>
                <w:szCs w:val="22"/>
              </w:rPr>
              <w:t>EOu</w:t>
            </w:r>
            <w:proofErr w:type="spellEnd"/>
            <w:r>
              <w:rPr>
                <w:rFonts w:ascii="Times New Roman" w:eastAsia="Times New Roman" w:hAnsi="Times New Roman" w:cs="Times New Roman"/>
                <w:sz w:val="22"/>
                <w:szCs w:val="22"/>
              </w:rPr>
              <w:t xml:space="preserve"> scored an overall satisfaction rate of 93%. </w:t>
            </w:r>
          </w:p>
        </w:tc>
      </w:tr>
    </w:tbl>
    <w:p w:rsidR="00E53683" w:rsidRDefault="00E53683"/>
    <w:p w:rsidR="00E53683" w:rsidRDefault="002974EE">
      <w:pPr>
        <w:keepNext/>
        <w:numPr>
          <w:ilvl w:val="0"/>
          <w:numId w:val="10"/>
        </w:numPr>
        <w:spacing w:before="120" w:after="120"/>
        <w:ind w:left="360"/>
        <w:rPr>
          <w:b/>
        </w:rPr>
      </w:pPr>
      <w:r>
        <w:rPr>
          <w:b/>
          <w:sz w:val="28"/>
          <w:szCs w:val="28"/>
        </w:rPr>
        <w:t>Notes on Progress, Accomplishment, and Innovation</w:t>
      </w:r>
    </w:p>
    <w:p w:rsidR="00E53683" w:rsidRDefault="002974EE">
      <w:pPr>
        <w:spacing w:after="200"/>
        <w:rPr>
          <w:strike/>
          <w:highlight w:val="yellow"/>
        </w:rPr>
      </w:pPr>
      <w:r>
        <w:t xml:space="preserve">This section describes program accomplishments, efforts, and innovations (strengths and outcomes) to address challenges and priorities over the past year. </w:t>
      </w:r>
    </w:p>
    <w:tbl>
      <w:tblPr>
        <w:tblStyle w:val="affff0"/>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955"/>
      </w:tblGrid>
      <w:tr w:rsidR="00E53683">
        <w:trPr>
          <w:trHeight w:val="970"/>
        </w:trPr>
        <w:tc>
          <w:tcPr>
            <w:tcW w:w="12955" w:type="dxa"/>
            <w:shd w:val="clear" w:color="auto" w:fill="D0E0E3"/>
            <w:tcMar>
              <w:top w:w="100" w:type="dxa"/>
              <w:left w:w="100" w:type="dxa"/>
              <w:bottom w:w="100" w:type="dxa"/>
              <w:right w:w="100" w:type="dxa"/>
            </w:tcMar>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Th</w:t>
            </w:r>
            <w:r>
              <w:rPr>
                <w:rFonts w:ascii="Times New Roman" w:eastAsia="Times New Roman" w:hAnsi="Times New Roman" w:cs="Times New Roman"/>
                <w:sz w:val="22"/>
                <w:szCs w:val="22"/>
              </w:rPr>
              <w:t>ere are three main areas to review in this section to highlight Eastern Oregon University College of Education; IA Program, universal Lesson Plan template and the Professional Teaching Portfolio.</w:t>
            </w:r>
          </w:p>
          <w:p w:rsidR="00E53683" w:rsidRDefault="00E53683">
            <w:pPr>
              <w:rPr>
                <w:rFonts w:ascii="Times New Roman" w:eastAsia="Times New Roman" w:hAnsi="Times New Roman" w:cs="Times New Roman"/>
                <w:sz w:val="22"/>
                <w:szCs w:val="22"/>
              </w:rPr>
            </w:pP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IA Program:</w:t>
            </w: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IA Program (Instructional Assistant Program) is an innovative strategy to recruit teachers into the program and allow IAs to continue teaching throughout the program. The COE understands the value IAs bring to the classroom and school and with the shor</w:t>
            </w:r>
            <w:r>
              <w:rPr>
                <w:rFonts w:ascii="Times New Roman" w:eastAsia="Times New Roman" w:hAnsi="Times New Roman" w:cs="Times New Roman"/>
                <w:sz w:val="22"/>
                <w:szCs w:val="22"/>
              </w:rPr>
              <w:t>tage of teachers the COE saw a way to assist Instructional Assistants to enroll in the teacher preparation program while still working as IAs in their current school. This allows the IAs to continue to support the students in the school they know while uti</w:t>
            </w:r>
            <w:r>
              <w:rPr>
                <w:rFonts w:ascii="Times New Roman" w:eastAsia="Times New Roman" w:hAnsi="Times New Roman" w:cs="Times New Roman"/>
                <w:sz w:val="22"/>
                <w:szCs w:val="22"/>
              </w:rPr>
              <w:t xml:space="preserve">lizing their wealth of knowledge during their student teaching as they continue to work and earn credit toward their degree and teaching certificate. This innovation is supported by TSPC. </w:t>
            </w:r>
          </w:p>
          <w:p w:rsidR="00E53683" w:rsidRDefault="00E53683">
            <w:pPr>
              <w:rPr>
                <w:rFonts w:ascii="Times New Roman" w:eastAsia="Times New Roman" w:hAnsi="Times New Roman" w:cs="Times New Roman"/>
                <w:sz w:val="22"/>
                <w:szCs w:val="22"/>
              </w:rPr>
            </w:pP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Universal Lesson Plan Template:</w:t>
            </w: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College of Education made prog</w:t>
            </w:r>
            <w:r>
              <w:rPr>
                <w:rFonts w:ascii="Times New Roman" w:eastAsia="Times New Roman" w:hAnsi="Times New Roman" w:cs="Times New Roman"/>
                <w:sz w:val="22"/>
                <w:szCs w:val="22"/>
              </w:rPr>
              <w:t>ress as a faculty to collaborate and approve a Lesson plan template to be used across all programs; initial licensure and endorsement (specifically ESOL). While inevitably adjustments will need to be made this will be done through the COE’s continuous impr</w:t>
            </w:r>
            <w:r>
              <w:rPr>
                <w:rFonts w:ascii="Times New Roman" w:eastAsia="Times New Roman" w:hAnsi="Times New Roman" w:cs="Times New Roman"/>
                <w:sz w:val="22"/>
                <w:szCs w:val="22"/>
              </w:rPr>
              <w:t>ovement process. The initial feedback from faculty and students is positive as before there were two different lesson plan templates used with different expectations. The use of consistent expectations has removed a layer of misunderstanding and allowed fa</w:t>
            </w:r>
            <w:r>
              <w:rPr>
                <w:rFonts w:ascii="Times New Roman" w:eastAsia="Times New Roman" w:hAnsi="Times New Roman" w:cs="Times New Roman"/>
                <w:sz w:val="22"/>
                <w:szCs w:val="22"/>
              </w:rPr>
              <w:t xml:space="preserve">culty to teach more in depth. It has also allowed students to have greater understanding of lesson plan concepts and apply them across multiple courses.  </w:t>
            </w:r>
          </w:p>
          <w:p w:rsidR="00E53683" w:rsidRDefault="00E53683">
            <w:pPr>
              <w:rPr>
                <w:rFonts w:ascii="Times New Roman" w:eastAsia="Times New Roman" w:hAnsi="Times New Roman" w:cs="Times New Roman"/>
                <w:sz w:val="22"/>
                <w:szCs w:val="22"/>
              </w:rPr>
            </w:pP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Professional Teaching Portfolio:</w:t>
            </w:r>
          </w:p>
          <w:p w:rsidR="00E53683" w:rsidRDefault="002974EE">
            <w:pPr>
              <w:rPr>
                <w:rFonts w:ascii="Times New Roman" w:eastAsia="Times New Roman" w:hAnsi="Times New Roman" w:cs="Times New Roman"/>
                <w:sz w:val="22"/>
                <w:szCs w:val="22"/>
              </w:rPr>
            </w:pPr>
            <w:bookmarkStart w:id="7" w:name="_heading=h.1fob9te" w:colFirst="0" w:colLast="0"/>
            <w:bookmarkEnd w:id="7"/>
            <w:r>
              <w:rPr>
                <w:rFonts w:ascii="Times New Roman" w:eastAsia="Times New Roman" w:hAnsi="Times New Roman" w:cs="Times New Roman"/>
                <w:sz w:val="22"/>
                <w:szCs w:val="22"/>
              </w:rPr>
              <w:lastRenderedPageBreak/>
              <w:t>The state of Oregon removed the requirement for Educator Preparatio</w:t>
            </w:r>
            <w:r>
              <w:rPr>
                <w:rFonts w:ascii="Times New Roman" w:eastAsia="Times New Roman" w:hAnsi="Times New Roman" w:cs="Times New Roman"/>
                <w:sz w:val="22"/>
                <w:szCs w:val="22"/>
              </w:rPr>
              <w:t xml:space="preserve">n Programs to use </w:t>
            </w:r>
            <w:proofErr w:type="spellStart"/>
            <w:r>
              <w:rPr>
                <w:rFonts w:ascii="Times New Roman" w:eastAsia="Times New Roman" w:hAnsi="Times New Roman" w:cs="Times New Roman"/>
                <w:sz w:val="22"/>
                <w:szCs w:val="22"/>
              </w:rPr>
              <w:t>edTPA</w:t>
            </w:r>
            <w:proofErr w:type="spellEnd"/>
            <w:r>
              <w:rPr>
                <w:rFonts w:ascii="Times New Roman" w:eastAsia="Times New Roman" w:hAnsi="Times New Roman" w:cs="Times New Roman"/>
                <w:sz w:val="22"/>
                <w:szCs w:val="22"/>
              </w:rPr>
              <w:t xml:space="preserve"> as the performance assessment. An accomplishment for the College of Education was developing a new performance assessment called the Professional Teaching Portfolio (PTP). A group of </w:t>
            </w:r>
            <w:proofErr w:type="gramStart"/>
            <w:r>
              <w:rPr>
                <w:rFonts w:ascii="Times New Roman" w:eastAsia="Times New Roman" w:hAnsi="Times New Roman" w:cs="Times New Roman"/>
                <w:sz w:val="22"/>
                <w:szCs w:val="22"/>
              </w:rPr>
              <w:t>faculty</w:t>
            </w:r>
            <w:proofErr w:type="gramEnd"/>
            <w:r>
              <w:rPr>
                <w:rFonts w:ascii="Times New Roman" w:eastAsia="Times New Roman" w:hAnsi="Times New Roman" w:cs="Times New Roman"/>
                <w:sz w:val="22"/>
                <w:szCs w:val="22"/>
              </w:rPr>
              <w:t xml:space="preserve"> worked to brainstorm and develop </w:t>
            </w:r>
            <w:proofErr w:type="spellStart"/>
            <w:r>
              <w:rPr>
                <w:rFonts w:ascii="Times New Roman" w:eastAsia="Times New Roman" w:hAnsi="Times New Roman" w:cs="Times New Roman"/>
                <w:sz w:val="22"/>
                <w:szCs w:val="22"/>
              </w:rPr>
              <w:t>th</w:t>
            </w:r>
            <w:proofErr w:type="spellEnd"/>
            <w:r>
              <w:rPr>
                <w:rFonts w:ascii="Times New Roman" w:eastAsia="Times New Roman" w:hAnsi="Times New Roman" w:cs="Times New Roman"/>
                <w:sz w:val="22"/>
                <w:szCs w:val="22"/>
              </w:rPr>
              <w:t xml:space="preserve"> new a</w:t>
            </w:r>
            <w:r>
              <w:rPr>
                <w:rFonts w:ascii="Times New Roman" w:eastAsia="Times New Roman" w:hAnsi="Times New Roman" w:cs="Times New Roman"/>
                <w:sz w:val="22"/>
                <w:szCs w:val="22"/>
              </w:rPr>
              <w:t xml:space="preserve">ssessment under the requirements set for by Oregon. The COE then collaborated with Southern Oregon University to refine the assessment and develop a system for valid and reliable scoring. </w:t>
            </w:r>
          </w:p>
        </w:tc>
      </w:tr>
    </w:tbl>
    <w:p w:rsidR="00E53683" w:rsidRDefault="00E53683">
      <w:pPr>
        <w:jc w:val="center"/>
        <w:rPr>
          <w:b/>
          <w:sz w:val="32"/>
          <w:szCs w:val="32"/>
        </w:rPr>
      </w:pPr>
    </w:p>
    <w:p w:rsidR="00E53683" w:rsidRDefault="002974EE">
      <w:pPr>
        <w:rPr>
          <w:b/>
          <w:sz w:val="32"/>
          <w:szCs w:val="32"/>
        </w:rPr>
      </w:pPr>
      <w:r>
        <w:br w:type="page"/>
      </w:r>
    </w:p>
    <w:p w:rsidR="00E53683" w:rsidRDefault="002974EE">
      <w:pPr>
        <w:jc w:val="center"/>
        <w:rPr>
          <w:b/>
          <w:sz w:val="32"/>
          <w:szCs w:val="32"/>
        </w:rPr>
      </w:pPr>
      <w:r>
        <w:rPr>
          <w:b/>
          <w:sz w:val="32"/>
          <w:szCs w:val="32"/>
        </w:rPr>
        <w:lastRenderedPageBreak/>
        <w:t>Part II: Self-Assessment and Continuous Growth</w:t>
      </w:r>
    </w:p>
    <w:p w:rsidR="00E53683" w:rsidRDefault="002974EE">
      <w:pPr>
        <w:spacing w:before="120"/>
        <w:jc w:val="center"/>
      </w:pPr>
      <w:r>
        <w:t>AAQEP does not r</w:t>
      </w:r>
      <w:r>
        <w:t xml:space="preserve">equire public posting of the information in Part II, but programs </w:t>
      </w:r>
      <w:r>
        <w:rPr>
          <w:b/>
        </w:rPr>
        <w:t>may</w:t>
      </w:r>
      <w:r>
        <w:t xml:space="preserve"> post it at their discretion.</w:t>
      </w:r>
    </w:p>
    <w:p w:rsidR="00E53683" w:rsidRDefault="00E53683"/>
    <w:p w:rsidR="00E53683" w:rsidRDefault="002974EE">
      <w:pPr>
        <w:keepNext/>
        <w:numPr>
          <w:ilvl w:val="0"/>
          <w:numId w:val="10"/>
        </w:numPr>
        <w:pBdr>
          <w:top w:val="nil"/>
          <w:left w:val="nil"/>
          <w:bottom w:val="nil"/>
          <w:right w:val="nil"/>
          <w:between w:val="nil"/>
        </w:pBdr>
        <w:spacing w:after="120"/>
        <w:ind w:left="360"/>
        <w:rPr>
          <w:b/>
          <w:color w:val="000000"/>
        </w:rPr>
      </w:pPr>
      <w:r>
        <w:rPr>
          <w:b/>
          <w:color w:val="000000"/>
          <w:sz w:val="28"/>
          <w:szCs w:val="28"/>
        </w:rPr>
        <w:t>Self-</w:t>
      </w:r>
      <w:r>
        <w:rPr>
          <w:b/>
          <w:sz w:val="28"/>
          <w:szCs w:val="28"/>
        </w:rPr>
        <w:t>A</w:t>
      </w:r>
      <w:r>
        <w:rPr>
          <w:b/>
          <w:color w:val="000000"/>
          <w:sz w:val="28"/>
          <w:szCs w:val="28"/>
        </w:rPr>
        <w:t>ssessment and Continuous Growth and Improvement</w:t>
      </w:r>
    </w:p>
    <w:p w:rsidR="00E53683" w:rsidRDefault="002974EE">
      <w:pPr>
        <w:spacing w:after="200"/>
      </w:pPr>
      <w:r>
        <w:t>This section charts ongoing improvement processes in relation to each AAQEP standard. Note that providers may focus their work on an aspect of one or two standards each year, with only brief entries regarding ongoing efforts for those standards that are no</w:t>
      </w:r>
      <w:r>
        <w:t xml:space="preserve">t the focus in the current year. </w:t>
      </w:r>
    </w:p>
    <w:p w:rsidR="00E53683" w:rsidRDefault="002974EE">
      <w:pPr>
        <w:keepNext/>
        <w:spacing w:after="120"/>
        <w:rPr>
          <w:b/>
        </w:rPr>
      </w:pPr>
      <w:r>
        <w:rPr>
          <w:b/>
        </w:rPr>
        <w:t>Table 5. Provider Self-Assessment and Continuous Improvement</w:t>
      </w:r>
    </w:p>
    <w:tbl>
      <w:tblPr>
        <w:tblStyle w:val="affff1"/>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9265"/>
      </w:tblGrid>
      <w:tr w:rsidR="00E53683">
        <w:tc>
          <w:tcPr>
            <w:tcW w:w="3685" w:type="dxa"/>
          </w:tcPr>
          <w:p w:rsidR="00E53683" w:rsidRDefault="00E53683"/>
        </w:tc>
        <w:tc>
          <w:tcPr>
            <w:tcW w:w="9265" w:type="dxa"/>
          </w:tcPr>
          <w:p w:rsidR="00E53683" w:rsidRDefault="002974EE">
            <w:pPr>
              <w:jc w:val="center"/>
              <w:rPr>
                <w:rFonts w:ascii="Arial" w:eastAsia="Arial" w:hAnsi="Arial" w:cs="Arial"/>
                <w:b/>
                <w:sz w:val="22"/>
                <w:szCs w:val="22"/>
              </w:rPr>
            </w:pPr>
            <w:r>
              <w:rPr>
                <w:rFonts w:ascii="Arial" w:eastAsia="Arial" w:hAnsi="Arial" w:cs="Arial"/>
                <w:b/>
                <w:sz w:val="22"/>
                <w:szCs w:val="22"/>
              </w:rPr>
              <w:t>Standard 1</w:t>
            </w:r>
          </w:p>
          <w:p w:rsidR="00E53683" w:rsidRDefault="002974EE">
            <w:pPr>
              <w:jc w:val="center"/>
              <w:rPr>
                <w:rFonts w:ascii="Arial" w:eastAsia="Arial" w:hAnsi="Arial" w:cs="Arial"/>
                <w:b/>
                <w:sz w:val="20"/>
                <w:szCs w:val="20"/>
              </w:rPr>
            </w:pPr>
            <w:r>
              <w:rPr>
                <w:rFonts w:ascii="Open Sans" w:eastAsia="Open Sans" w:hAnsi="Open Sans" w:cs="Open Sans"/>
                <w:b/>
                <w:sz w:val="20"/>
                <w:szCs w:val="20"/>
                <w:highlight w:val="white"/>
              </w:rPr>
              <w:t>Program completers perform as professional educators with the capacity to support success for all learners.</w:t>
            </w:r>
          </w:p>
        </w:tc>
      </w:tr>
      <w:tr w:rsidR="00E53683">
        <w:tc>
          <w:tcPr>
            <w:tcW w:w="3685" w:type="dxa"/>
          </w:tcPr>
          <w:p w:rsidR="00E53683" w:rsidRDefault="002974EE">
            <w:pPr>
              <w:rPr>
                <w:rFonts w:ascii="Arial" w:eastAsia="Arial" w:hAnsi="Arial" w:cs="Arial"/>
                <w:b/>
                <w:sz w:val="22"/>
                <w:szCs w:val="22"/>
              </w:rPr>
            </w:pPr>
            <w:r>
              <w:rPr>
                <w:rFonts w:ascii="Arial" w:eastAsia="Arial" w:hAnsi="Arial" w:cs="Arial"/>
                <w:b/>
                <w:sz w:val="22"/>
                <w:szCs w:val="22"/>
              </w:rPr>
              <w:t>Goals for the 2022-23 year</w:t>
            </w:r>
          </w:p>
        </w:tc>
        <w:tc>
          <w:tcPr>
            <w:tcW w:w="9265" w:type="dxa"/>
            <w:shd w:val="clear" w:color="auto" w:fill="D0E0E3"/>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Implement the</w:t>
            </w:r>
            <w:r>
              <w:rPr>
                <w:rFonts w:ascii="Times New Roman" w:eastAsia="Times New Roman" w:hAnsi="Times New Roman" w:cs="Times New Roman"/>
                <w:sz w:val="22"/>
                <w:szCs w:val="22"/>
              </w:rPr>
              <w:t xml:space="preserve"> Professional Teaching Portfolio</w:t>
            </w:r>
          </w:p>
        </w:tc>
      </w:tr>
      <w:tr w:rsidR="00E53683">
        <w:tc>
          <w:tcPr>
            <w:tcW w:w="3685" w:type="dxa"/>
          </w:tcPr>
          <w:p w:rsidR="00E53683" w:rsidRDefault="002974EE">
            <w:pPr>
              <w:rPr>
                <w:rFonts w:ascii="Arial" w:eastAsia="Arial" w:hAnsi="Arial" w:cs="Arial"/>
                <w:b/>
                <w:strike/>
                <w:sz w:val="22"/>
                <w:szCs w:val="22"/>
              </w:rPr>
            </w:pPr>
            <w:r>
              <w:rPr>
                <w:rFonts w:ascii="Arial" w:eastAsia="Arial" w:hAnsi="Arial" w:cs="Arial"/>
                <w:b/>
                <w:sz w:val="22"/>
                <w:szCs w:val="22"/>
              </w:rPr>
              <w:t>Actions</w:t>
            </w:r>
          </w:p>
        </w:tc>
        <w:tc>
          <w:tcPr>
            <w:tcW w:w="9265" w:type="dxa"/>
            <w:shd w:val="clear" w:color="auto" w:fill="D0E0E3"/>
          </w:tcPr>
          <w:p w:rsidR="00E53683" w:rsidRDefault="002974EE">
            <w:pPr>
              <w:numPr>
                <w:ilvl w:val="0"/>
                <w:numId w:val="11"/>
              </w:numPr>
              <w:rPr>
                <w:rFonts w:ascii="Times New Roman" w:eastAsia="Times New Roman" w:hAnsi="Times New Roman" w:cs="Times New Roman"/>
                <w:sz w:val="22"/>
                <w:szCs w:val="22"/>
              </w:rPr>
            </w:pPr>
            <w:r>
              <w:rPr>
                <w:rFonts w:ascii="Times New Roman" w:eastAsia="Times New Roman" w:hAnsi="Times New Roman" w:cs="Times New Roman"/>
                <w:sz w:val="22"/>
                <w:szCs w:val="22"/>
              </w:rPr>
              <w:t>Create a matrix to defines where each portfolio component is taught in each course</w:t>
            </w:r>
          </w:p>
          <w:p w:rsidR="00E53683" w:rsidRDefault="002974EE">
            <w:pPr>
              <w:numPr>
                <w:ilvl w:val="0"/>
                <w:numId w:val="11"/>
              </w:numPr>
              <w:rPr>
                <w:rFonts w:ascii="Times New Roman" w:eastAsia="Times New Roman" w:hAnsi="Times New Roman" w:cs="Times New Roman"/>
                <w:sz w:val="22"/>
                <w:szCs w:val="22"/>
              </w:rPr>
            </w:pPr>
            <w:r>
              <w:rPr>
                <w:rFonts w:ascii="Times New Roman" w:eastAsia="Times New Roman" w:hAnsi="Times New Roman" w:cs="Times New Roman"/>
                <w:sz w:val="22"/>
                <w:szCs w:val="22"/>
              </w:rPr>
              <w:t>Training sessions with the COE at EOU and collaborative training sessions with Southern Oregon University</w:t>
            </w:r>
          </w:p>
          <w:p w:rsidR="00E53683" w:rsidRDefault="002974EE">
            <w:pPr>
              <w:numPr>
                <w:ilvl w:val="0"/>
                <w:numId w:val="11"/>
              </w:numPr>
              <w:rPr>
                <w:rFonts w:ascii="Times New Roman" w:eastAsia="Times New Roman" w:hAnsi="Times New Roman" w:cs="Times New Roman"/>
                <w:sz w:val="22"/>
                <w:szCs w:val="22"/>
              </w:rPr>
            </w:pPr>
            <w:r>
              <w:rPr>
                <w:rFonts w:ascii="Times New Roman" w:eastAsia="Times New Roman" w:hAnsi="Times New Roman" w:cs="Times New Roman"/>
                <w:sz w:val="22"/>
                <w:szCs w:val="22"/>
              </w:rPr>
              <w:t>Develop a system for continuous improvement - feedback loop</w:t>
            </w:r>
          </w:p>
        </w:tc>
      </w:tr>
      <w:tr w:rsidR="00E53683">
        <w:tc>
          <w:tcPr>
            <w:tcW w:w="3685" w:type="dxa"/>
          </w:tcPr>
          <w:p w:rsidR="00E53683" w:rsidRDefault="002974EE">
            <w:pPr>
              <w:rPr>
                <w:rFonts w:ascii="Arial" w:eastAsia="Arial" w:hAnsi="Arial" w:cs="Arial"/>
                <w:b/>
                <w:sz w:val="22"/>
                <w:szCs w:val="22"/>
              </w:rPr>
            </w:pPr>
            <w:r>
              <w:rPr>
                <w:rFonts w:ascii="Arial" w:eastAsia="Arial" w:hAnsi="Arial" w:cs="Arial"/>
                <w:b/>
                <w:sz w:val="22"/>
                <w:szCs w:val="22"/>
              </w:rPr>
              <w:t>Expected outcomes</w:t>
            </w:r>
          </w:p>
        </w:tc>
        <w:tc>
          <w:tcPr>
            <w:tcW w:w="9265" w:type="dxa"/>
            <w:shd w:val="clear" w:color="auto" w:fill="D0E0E3"/>
          </w:tcPr>
          <w:p w:rsidR="00E53683" w:rsidRDefault="002974EE">
            <w:pPr>
              <w:numPr>
                <w:ilvl w:val="0"/>
                <w:numId w:val="13"/>
              </w:numPr>
              <w:rPr>
                <w:rFonts w:ascii="Times New Roman" w:eastAsia="Times New Roman" w:hAnsi="Times New Roman" w:cs="Times New Roman"/>
                <w:sz w:val="22"/>
                <w:szCs w:val="22"/>
              </w:rPr>
            </w:pPr>
            <w:r>
              <w:rPr>
                <w:rFonts w:ascii="Times New Roman" w:eastAsia="Times New Roman" w:hAnsi="Times New Roman" w:cs="Times New Roman"/>
                <w:sz w:val="22"/>
                <w:szCs w:val="22"/>
              </w:rPr>
              <w:t>Matrix developed</w:t>
            </w:r>
          </w:p>
          <w:p w:rsidR="00E53683" w:rsidRDefault="002974EE">
            <w:pPr>
              <w:numPr>
                <w:ilvl w:val="0"/>
                <w:numId w:val="13"/>
              </w:numPr>
              <w:rPr>
                <w:rFonts w:ascii="Times New Roman" w:eastAsia="Times New Roman" w:hAnsi="Times New Roman" w:cs="Times New Roman"/>
                <w:sz w:val="22"/>
                <w:szCs w:val="22"/>
              </w:rPr>
            </w:pPr>
            <w:r>
              <w:rPr>
                <w:rFonts w:ascii="Times New Roman" w:eastAsia="Times New Roman" w:hAnsi="Times New Roman" w:cs="Times New Roman"/>
                <w:sz w:val="22"/>
                <w:szCs w:val="22"/>
              </w:rPr>
              <w:t>Training documents developed (i.e. candidates, university supervisors, instructors)</w:t>
            </w:r>
          </w:p>
          <w:p w:rsidR="00E53683" w:rsidRDefault="002974EE">
            <w:pPr>
              <w:numPr>
                <w:ilvl w:val="0"/>
                <w:numId w:val="13"/>
              </w:numPr>
              <w:rPr>
                <w:rFonts w:ascii="Times New Roman" w:eastAsia="Times New Roman" w:hAnsi="Times New Roman" w:cs="Times New Roman"/>
                <w:sz w:val="22"/>
                <w:szCs w:val="22"/>
              </w:rPr>
            </w:pPr>
            <w:r>
              <w:rPr>
                <w:rFonts w:ascii="Times New Roman" w:eastAsia="Times New Roman" w:hAnsi="Times New Roman" w:cs="Times New Roman"/>
                <w:sz w:val="22"/>
                <w:szCs w:val="22"/>
              </w:rPr>
              <w:t>Feedback loop defined</w:t>
            </w:r>
          </w:p>
        </w:tc>
      </w:tr>
      <w:tr w:rsidR="00E53683">
        <w:tc>
          <w:tcPr>
            <w:tcW w:w="3685" w:type="dxa"/>
          </w:tcPr>
          <w:p w:rsidR="00E53683" w:rsidRDefault="002974EE">
            <w:pPr>
              <w:rPr>
                <w:rFonts w:ascii="Arial" w:eastAsia="Arial" w:hAnsi="Arial" w:cs="Arial"/>
                <w:b/>
                <w:sz w:val="22"/>
                <w:szCs w:val="22"/>
              </w:rPr>
            </w:pPr>
            <w:r>
              <w:rPr>
                <w:rFonts w:ascii="Arial" w:eastAsia="Arial" w:hAnsi="Arial" w:cs="Arial"/>
                <w:b/>
                <w:sz w:val="22"/>
                <w:szCs w:val="22"/>
              </w:rPr>
              <w:t>Reflections or comments</w:t>
            </w:r>
          </w:p>
        </w:tc>
        <w:tc>
          <w:tcPr>
            <w:tcW w:w="9265" w:type="dxa"/>
            <w:shd w:val="clear" w:color="auto" w:fill="D0E0E3"/>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is year one </w:t>
            </w:r>
            <w:proofErr w:type="gramStart"/>
            <w:r>
              <w:rPr>
                <w:rFonts w:ascii="Times New Roman" w:eastAsia="Times New Roman" w:hAnsi="Times New Roman" w:cs="Times New Roman"/>
                <w:sz w:val="22"/>
                <w:szCs w:val="22"/>
              </w:rPr>
              <w:t>implementati</w:t>
            </w:r>
            <w:r>
              <w:rPr>
                <w:rFonts w:ascii="Times New Roman" w:eastAsia="Times New Roman" w:hAnsi="Times New Roman" w:cs="Times New Roman"/>
                <w:sz w:val="22"/>
                <w:szCs w:val="22"/>
              </w:rPr>
              <w:t>on,</w:t>
            </w:r>
            <w:proofErr w:type="gramEnd"/>
            <w:r>
              <w:rPr>
                <w:rFonts w:ascii="Times New Roman" w:eastAsia="Times New Roman" w:hAnsi="Times New Roman" w:cs="Times New Roman"/>
                <w:sz w:val="22"/>
                <w:szCs w:val="22"/>
              </w:rPr>
              <w:t xml:space="preserve"> therefore, the COE anticipates the need for revision as the portfolio is piloted.</w:t>
            </w:r>
          </w:p>
        </w:tc>
      </w:tr>
      <w:tr w:rsidR="00E53683">
        <w:tc>
          <w:tcPr>
            <w:tcW w:w="3685" w:type="dxa"/>
          </w:tcPr>
          <w:p w:rsidR="00E53683" w:rsidRDefault="00E53683">
            <w:pPr>
              <w:rPr>
                <w:rFonts w:ascii="Arial" w:eastAsia="Arial" w:hAnsi="Arial" w:cs="Arial"/>
                <w:b/>
                <w:sz w:val="20"/>
                <w:szCs w:val="20"/>
              </w:rPr>
            </w:pPr>
          </w:p>
        </w:tc>
        <w:tc>
          <w:tcPr>
            <w:tcW w:w="9265" w:type="dxa"/>
          </w:tcPr>
          <w:p w:rsidR="00E53683" w:rsidRDefault="002974EE">
            <w:pPr>
              <w:jc w:val="center"/>
              <w:rPr>
                <w:rFonts w:ascii="Arial" w:eastAsia="Arial" w:hAnsi="Arial" w:cs="Arial"/>
                <w:b/>
                <w:sz w:val="20"/>
                <w:szCs w:val="20"/>
              </w:rPr>
            </w:pPr>
            <w:r>
              <w:rPr>
                <w:rFonts w:ascii="Arial" w:eastAsia="Arial" w:hAnsi="Arial" w:cs="Arial"/>
                <w:b/>
                <w:sz w:val="20"/>
                <w:szCs w:val="20"/>
              </w:rPr>
              <w:t>Standard 2</w:t>
            </w:r>
          </w:p>
          <w:p w:rsidR="00E53683" w:rsidRDefault="002974EE">
            <w:pPr>
              <w:jc w:val="center"/>
              <w:rPr>
                <w:rFonts w:ascii="Arial" w:eastAsia="Arial" w:hAnsi="Arial" w:cs="Arial"/>
                <w:b/>
                <w:sz w:val="20"/>
                <w:szCs w:val="20"/>
              </w:rPr>
            </w:pPr>
            <w:r>
              <w:rPr>
                <w:rFonts w:ascii="Open Sans" w:eastAsia="Open Sans" w:hAnsi="Open Sans" w:cs="Open Sans"/>
                <w:b/>
                <w:sz w:val="20"/>
                <w:szCs w:val="20"/>
                <w:highlight w:val="white"/>
              </w:rPr>
              <w:t>Program completers adapt to working in a variety of contexts and grow as professionals.</w:t>
            </w:r>
          </w:p>
        </w:tc>
      </w:tr>
      <w:tr w:rsidR="00E53683">
        <w:tc>
          <w:tcPr>
            <w:tcW w:w="3685" w:type="dxa"/>
          </w:tcPr>
          <w:p w:rsidR="00E53683" w:rsidRDefault="002974EE">
            <w:pPr>
              <w:rPr>
                <w:rFonts w:ascii="Arial" w:eastAsia="Arial" w:hAnsi="Arial" w:cs="Arial"/>
                <w:b/>
                <w:sz w:val="22"/>
                <w:szCs w:val="22"/>
              </w:rPr>
            </w:pPr>
            <w:r>
              <w:rPr>
                <w:rFonts w:ascii="Arial" w:eastAsia="Arial" w:hAnsi="Arial" w:cs="Arial"/>
                <w:b/>
                <w:sz w:val="22"/>
                <w:szCs w:val="22"/>
              </w:rPr>
              <w:t>Goals for the 2022-23 year</w:t>
            </w:r>
          </w:p>
        </w:tc>
        <w:tc>
          <w:tcPr>
            <w:tcW w:w="9265" w:type="dxa"/>
            <w:shd w:val="clear" w:color="auto" w:fill="D0E0E3"/>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Use data from Alumni Survey and Employer Survey to improve program components for the current educational environment</w:t>
            </w:r>
          </w:p>
        </w:tc>
      </w:tr>
      <w:tr w:rsidR="00E53683">
        <w:tc>
          <w:tcPr>
            <w:tcW w:w="3685" w:type="dxa"/>
          </w:tcPr>
          <w:p w:rsidR="00E53683" w:rsidRDefault="002974EE">
            <w:pPr>
              <w:rPr>
                <w:rFonts w:ascii="Arial" w:eastAsia="Arial" w:hAnsi="Arial" w:cs="Arial"/>
                <w:b/>
                <w:strike/>
                <w:sz w:val="22"/>
                <w:szCs w:val="22"/>
              </w:rPr>
            </w:pPr>
            <w:r>
              <w:rPr>
                <w:rFonts w:ascii="Arial" w:eastAsia="Arial" w:hAnsi="Arial" w:cs="Arial"/>
                <w:b/>
                <w:sz w:val="22"/>
                <w:szCs w:val="22"/>
              </w:rPr>
              <w:t>Actions</w:t>
            </w:r>
          </w:p>
        </w:tc>
        <w:tc>
          <w:tcPr>
            <w:tcW w:w="9265" w:type="dxa"/>
            <w:shd w:val="clear" w:color="auto" w:fill="D0E0E3"/>
          </w:tcPr>
          <w:p w:rsidR="00E53683" w:rsidRDefault="002974EE">
            <w:pPr>
              <w:numPr>
                <w:ilvl w:val="0"/>
                <w:numId w:val="8"/>
              </w:numPr>
              <w:rPr>
                <w:rFonts w:ascii="Times New Roman" w:eastAsia="Times New Roman" w:hAnsi="Times New Roman" w:cs="Times New Roman"/>
                <w:sz w:val="22"/>
                <w:szCs w:val="22"/>
              </w:rPr>
            </w:pPr>
            <w:r>
              <w:rPr>
                <w:rFonts w:ascii="Times New Roman" w:eastAsia="Times New Roman" w:hAnsi="Times New Roman" w:cs="Times New Roman"/>
                <w:sz w:val="22"/>
                <w:szCs w:val="22"/>
              </w:rPr>
              <w:t>Provide survey to all completers and employers</w:t>
            </w:r>
          </w:p>
          <w:p w:rsidR="00E53683" w:rsidRDefault="002974EE">
            <w:pPr>
              <w:numPr>
                <w:ilvl w:val="0"/>
                <w:numId w:val="8"/>
              </w:num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Analyze data and summarize with a COE taskforce</w:t>
            </w:r>
          </w:p>
          <w:p w:rsidR="00E53683" w:rsidRDefault="002974EE">
            <w:pPr>
              <w:numPr>
                <w:ilvl w:val="0"/>
                <w:numId w:val="8"/>
              </w:numPr>
              <w:rPr>
                <w:rFonts w:ascii="Times New Roman" w:eastAsia="Times New Roman" w:hAnsi="Times New Roman" w:cs="Times New Roman"/>
                <w:sz w:val="22"/>
                <w:szCs w:val="22"/>
              </w:rPr>
            </w:pPr>
            <w:r>
              <w:rPr>
                <w:rFonts w:ascii="Times New Roman" w:eastAsia="Times New Roman" w:hAnsi="Times New Roman" w:cs="Times New Roman"/>
                <w:sz w:val="22"/>
                <w:szCs w:val="22"/>
              </w:rPr>
              <w:t>Choose three areas for improvement</w:t>
            </w:r>
            <w:r>
              <w:rPr>
                <w:rFonts w:ascii="Times New Roman" w:eastAsia="Times New Roman" w:hAnsi="Times New Roman" w:cs="Times New Roman"/>
                <w:sz w:val="22"/>
                <w:szCs w:val="22"/>
              </w:rPr>
              <w:t xml:space="preserve"> and develop strategies for implementation and share with stakeholders</w:t>
            </w:r>
          </w:p>
          <w:p w:rsidR="00E53683" w:rsidRDefault="002974EE">
            <w:pPr>
              <w:numPr>
                <w:ilvl w:val="0"/>
                <w:numId w:val="8"/>
              </w:numPr>
              <w:rPr>
                <w:rFonts w:ascii="Times New Roman" w:eastAsia="Times New Roman" w:hAnsi="Times New Roman" w:cs="Times New Roman"/>
                <w:sz w:val="22"/>
                <w:szCs w:val="22"/>
              </w:rPr>
            </w:pPr>
            <w:r>
              <w:rPr>
                <w:rFonts w:ascii="Times New Roman" w:eastAsia="Times New Roman" w:hAnsi="Times New Roman" w:cs="Times New Roman"/>
                <w:sz w:val="22"/>
                <w:szCs w:val="22"/>
              </w:rPr>
              <w:t>Note areas of success and share with stakeholders</w:t>
            </w:r>
          </w:p>
        </w:tc>
      </w:tr>
      <w:tr w:rsidR="00E53683">
        <w:tc>
          <w:tcPr>
            <w:tcW w:w="3685" w:type="dxa"/>
          </w:tcPr>
          <w:p w:rsidR="00E53683" w:rsidRDefault="002974EE">
            <w:pPr>
              <w:rPr>
                <w:rFonts w:ascii="Arial" w:eastAsia="Arial" w:hAnsi="Arial" w:cs="Arial"/>
                <w:b/>
                <w:sz w:val="22"/>
                <w:szCs w:val="22"/>
              </w:rPr>
            </w:pPr>
            <w:r>
              <w:rPr>
                <w:rFonts w:ascii="Arial" w:eastAsia="Arial" w:hAnsi="Arial" w:cs="Arial"/>
                <w:b/>
                <w:sz w:val="22"/>
                <w:szCs w:val="22"/>
              </w:rPr>
              <w:lastRenderedPageBreak/>
              <w:t>Expected outcomes</w:t>
            </w:r>
          </w:p>
        </w:tc>
        <w:tc>
          <w:tcPr>
            <w:tcW w:w="9265" w:type="dxa"/>
            <w:shd w:val="clear" w:color="auto" w:fill="D0E0E3"/>
          </w:tcPr>
          <w:p w:rsidR="00E53683" w:rsidRDefault="002974EE">
            <w:pPr>
              <w:numPr>
                <w:ilvl w:val="0"/>
                <w:numId w:val="6"/>
              </w:numPr>
              <w:rPr>
                <w:rFonts w:ascii="Times New Roman" w:eastAsia="Times New Roman" w:hAnsi="Times New Roman" w:cs="Times New Roman"/>
                <w:sz w:val="22"/>
                <w:szCs w:val="22"/>
              </w:rPr>
            </w:pPr>
            <w:r>
              <w:rPr>
                <w:rFonts w:ascii="Times New Roman" w:eastAsia="Times New Roman" w:hAnsi="Times New Roman" w:cs="Times New Roman"/>
                <w:sz w:val="22"/>
                <w:szCs w:val="22"/>
              </w:rPr>
              <w:t>Program aligned with the needs of stakeholders across the state</w:t>
            </w:r>
          </w:p>
          <w:p w:rsidR="00E53683" w:rsidRDefault="002974EE">
            <w:pPr>
              <w:numPr>
                <w:ilvl w:val="0"/>
                <w:numId w:val="6"/>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COE faculty and staff understanding </w:t>
            </w:r>
          </w:p>
        </w:tc>
      </w:tr>
      <w:tr w:rsidR="00E53683">
        <w:tc>
          <w:tcPr>
            <w:tcW w:w="3685" w:type="dxa"/>
          </w:tcPr>
          <w:p w:rsidR="00E53683" w:rsidRDefault="002974EE">
            <w:pPr>
              <w:rPr>
                <w:rFonts w:ascii="Arial" w:eastAsia="Arial" w:hAnsi="Arial" w:cs="Arial"/>
                <w:b/>
                <w:sz w:val="22"/>
                <w:szCs w:val="22"/>
              </w:rPr>
            </w:pPr>
            <w:r>
              <w:rPr>
                <w:rFonts w:ascii="Arial" w:eastAsia="Arial" w:hAnsi="Arial" w:cs="Arial"/>
                <w:b/>
                <w:sz w:val="22"/>
                <w:szCs w:val="22"/>
              </w:rPr>
              <w:t>Reflections or comments</w:t>
            </w:r>
          </w:p>
        </w:tc>
        <w:tc>
          <w:tcPr>
            <w:tcW w:w="9265" w:type="dxa"/>
            <w:shd w:val="clear" w:color="auto" w:fill="D0E0E3"/>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This will need to be an on-going yearly process.</w:t>
            </w:r>
          </w:p>
        </w:tc>
      </w:tr>
      <w:tr w:rsidR="00E53683">
        <w:tc>
          <w:tcPr>
            <w:tcW w:w="3685" w:type="dxa"/>
          </w:tcPr>
          <w:p w:rsidR="00E53683" w:rsidRDefault="00E53683">
            <w:pPr>
              <w:rPr>
                <w:rFonts w:ascii="Arial" w:eastAsia="Arial" w:hAnsi="Arial" w:cs="Arial"/>
                <w:b/>
                <w:sz w:val="22"/>
                <w:szCs w:val="22"/>
              </w:rPr>
            </w:pPr>
          </w:p>
        </w:tc>
        <w:tc>
          <w:tcPr>
            <w:tcW w:w="9265" w:type="dxa"/>
          </w:tcPr>
          <w:p w:rsidR="00E53683" w:rsidRDefault="002974EE">
            <w:pPr>
              <w:jc w:val="center"/>
              <w:rPr>
                <w:rFonts w:ascii="Arial" w:eastAsia="Arial" w:hAnsi="Arial" w:cs="Arial"/>
                <w:b/>
                <w:sz w:val="22"/>
                <w:szCs w:val="22"/>
              </w:rPr>
            </w:pPr>
            <w:r>
              <w:rPr>
                <w:rFonts w:ascii="Arial" w:eastAsia="Arial" w:hAnsi="Arial" w:cs="Arial"/>
                <w:b/>
                <w:sz w:val="22"/>
                <w:szCs w:val="22"/>
              </w:rPr>
              <w:t>Standard 3</w:t>
            </w:r>
          </w:p>
          <w:p w:rsidR="00E53683" w:rsidRDefault="002974EE">
            <w:pPr>
              <w:jc w:val="center"/>
              <w:rPr>
                <w:rFonts w:ascii="Arial" w:eastAsia="Arial" w:hAnsi="Arial" w:cs="Arial"/>
                <w:b/>
                <w:sz w:val="20"/>
                <w:szCs w:val="20"/>
              </w:rPr>
            </w:pPr>
            <w:r>
              <w:rPr>
                <w:rFonts w:ascii="Open Sans" w:eastAsia="Open Sans" w:hAnsi="Open Sans" w:cs="Open Sans"/>
                <w:b/>
                <w:sz w:val="20"/>
                <w:szCs w:val="20"/>
                <w:highlight w:val="white"/>
              </w:rPr>
              <w:t>The program has the capacity to ensure that its completers meet Standards 1 and 2.</w:t>
            </w:r>
          </w:p>
        </w:tc>
      </w:tr>
      <w:tr w:rsidR="00E53683">
        <w:tc>
          <w:tcPr>
            <w:tcW w:w="3685" w:type="dxa"/>
          </w:tcPr>
          <w:p w:rsidR="00E53683" w:rsidRDefault="002974EE">
            <w:pPr>
              <w:rPr>
                <w:rFonts w:ascii="Arial" w:eastAsia="Arial" w:hAnsi="Arial" w:cs="Arial"/>
                <w:b/>
                <w:sz w:val="22"/>
                <w:szCs w:val="22"/>
              </w:rPr>
            </w:pPr>
            <w:r>
              <w:rPr>
                <w:rFonts w:ascii="Arial" w:eastAsia="Arial" w:hAnsi="Arial" w:cs="Arial"/>
                <w:b/>
                <w:sz w:val="22"/>
                <w:szCs w:val="22"/>
              </w:rPr>
              <w:t>Goals for the 2022-23 year</w:t>
            </w:r>
          </w:p>
        </w:tc>
        <w:tc>
          <w:tcPr>
            <w:tcW w:w="9265" w:type="dxa"/>
            <w:shd w:val="clear" w:color="auto" w:fill="D0E0E3"/>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Develop standard operating procedures for curriculum mapping practices</w:t>
            </w:r>
          </w:p>
        </w:tc>
      </w:tr>
      <w:tr w:rsidR="00E53683">
        <w:tc>
          <w:tcPr>
            <w:tcW w:w="3685" w:type="dxa"/>
          </w:tcPr>
          <w:p w:rsidR="00E53683" w:rsidRDefault="002974EE">
            <w:pPr>
              <w:rPr>
                <w:rFonts w:ascii="Arial" w:eastAsia="Arial" w:hAnsi="Arial" w:cs="Arial"/>
                <w:b/>
                <w:strike/>
                <w:sz w:val="22"/>
                <w:szCs w:val="22"/>
              </w:rPr>
            </w:pPr>
            <w:r>
              <w:rPr>
                <w:rFonts w:ascii="Arial" w:eastAsia="Arial" w:hAnsi="Arial" w:cs="Arial"/>
                <w:b/>
                <w:sz w:val="22"/>
                <w:szCs w:val="22"/>
              </w:rPr>
              <w:t>Actions</w:t>
            </w:r>
          </w:p>
        </w:tc>
        <w:tc>
          <w:tcPr>
            <w:tcW w:w="9265" w:type="dxa"/>
            <w:shd w:val="clear" w:color="auto" w:fill="D0E0E3"/>
          </w:tcPr>
          <w:p w:rsidR="00E53683" w:rsidRDefault="002974EE">
            <w:pPr>
              <w:numPr>
                <w:ilvl w:val="0"/>
                <w:numId w:val="12"/>
              </w:numPr>
              <w:rPr>
                <w:rFonts w:ascii="Times New Roman" w:eastAsia="Times New Roman" w:hAnsi="Times New Roman" w:cs="Times New Roman"/>
                <w:sz w:val="22"/>
                <w:szCs w:val="22"/>
              </w:rPr>
            </w:pPr>
            <w:r>
              <w:rPr>
                <w:rFonts w:ascii="Times New Roman" w:eastAsia="Times New Roman" w:hAnsi="Times New Roman" w:cs="Times New Roman"/>
                <w:sz w:val="22"/>
                <w:szCs w:val="22"/>
              </w:rPr>
              <w:t>Use Alumni and Employer survey results and feedback from Continuous Improvement conversations with stakeholders to redesign licensure programs</w:t>
            </w:r>
          </w:p>
          <w:p w:rsidR="00E53683" w:rsidRDefault="002974EE">
            <w:pPr>
              <w:numPr>
                <w:ilvl w:val="0"/>
                <w:numId w:val="12"/>
              </w:numPr>
              <w:rPr>
                <w:rFonts w:ascii="Times New Roman" w:eastAsia="Times New Roman" w:hAnsi="Times New Roman" w:cs="Times New Roman"/>
                <w:sz w:val="22"/>
                <w:szCs w:val="22"/>
              </w:rPr>
            </w:pPr>
            <w:r>
              <w:rPr>
                <w:rFonts w:ascii="Times New Roman" w:eastAsia="Times New Roman" w:hAnsi="Times New Roman" w:cs="Times New Roman"/>
                <w:sz w:val="22"/>
                <w:szCs w:val="22"/>
              </w:rPr>
              <w:t>Create matrix of curriculum maps for each program including essential threads (i.e. 21st Century Skills, Trauma-Informed Practices, Diversity)</w:t>
            </w:r>
          </w:p>
        </w:tc>
      </w:tr>
      <w:tr w:rsidR="00E53683">
        <w:tc>
          <w:tcPr>
            <w:tcW w:w="3685" w:type="dxa"/>
          </w:tcPr>
          <w:p w:rsidR="00E53683" w:rsidRDefault="002974EE">
            <w:pPr>
              <w:rPr>
                <w:rFonts w:ascii="Arial" w:eastAsia="Arial" w:hAnsi="Arial" w:cs="Arial"/>
                <w:b/>
                <w:sz w:val="22"/>
                <w:szCs w:val="22"/>
              </w:rPr>
            </w:pPr>
            <w:r>
              <w:rPr>
                <w:rFonts w:ascii="Arial" w:eastAsia="Arial" w:hAnsi="Arial" w:cs="Arial"/>
                <w:b/>
                <w:sz w:val="22"/>
                <w:szCs w:val="22"/>
              </w:rPr>
              <w:t>Expected outcomes</w:t>
            </w:r>
          </w:p>
        </w:tc>
        <w:tc>
          <w:tcPr>
            <w:tcW w:w="9265" w:type="dxa"/>
            <w:shd w:val="clear" w:color="auto" w:fill="D0E0E3"/>
          </w:tcPr>
          <w:p w:rsidR="00E53683" w:rsidRDefault="002974EE">
            <w:pPr>
              <w:numPr>
                <w:ilvl w:val="0"/>
                <w:numId w:val="15"/>
              </w:numPr>
              <w:rPr>
                <w:rFonts w:ascii="Times New Roman" w:eastAsia="Times New Roman" w:hAnsi="Times New Roman" w:cs="Times New Roman"/>
                <w:sz w:val="22"/>
                <w:szCs w:val="22"/>
              </w:rPr>
            </w:pPr>
            <w:r>
              <w:rPr>
                <w:rFonts w:ascii="Times New Roman" w:eastAsia="Times New Roman" w:hAnsi="Times New Roman" w:cs="Times New Roman"/>
                <w:sz w:val="22"/>
                <w:szCs w:val="22"/>
              </w:rPr>
              <w:t>Program coherence and understanding by all stakeholders (i.e. candidates, instructors, mentors</w:t>
            </w:r>
            <w:r>
              <w:rPr>
                <w:rFonts w:ascii="Times New Roman" w:eastAsia="Times New Roman" w:hAnsi="Times New Roman" w:cs="Times New Roman"/>
                <w:sz w:val="22"/>
                <w:szCs w:val="22"/>
              </w:rPr>
              <w:t>, university supervisors)</w:t>
            </w:r>
          </w:p>
        </w:tc>
      </w:tr>
      <w:tr w:rsidR="00E53683">
        <w:tc>
          <w:tcPr>
            <w:tcW w:w="3685" w:type="dxa"/>
          </w:tcPr>
          <w:p w:rsidR="00E53683" w:rsidRDefault="002974EE">
            <w:pPr>
              <w:rPr>
                <w:rFonts w:ascii="Arial" w:eastAsia="Arial" w:hAnsi="Arial" w:cs="Arial"/>
                <w:b/>
                <w:sz w:val="22"/>
                <w:szCs w:val="22"/>
              </w:rPr>
            </w:pPr>
            <w:r>
              <w:rPr>
                <w:rFonts w:ascii="Arial" w:eastAsia="Arial" w:hAnsi="Arial" w:cs="Arial"/>
                <w:b/>
                <w:sz w:val="22"/>
                <w:szCs w:val="22"/>
              </w:rPr>
              <w:t>Reflections or comments</w:t>
            </w:r>
          </w:p>
        </w:tc>
        <w:tc>
          <w:tcPr>
            <w:tcW w:w="9265" w:type="dxa"/>
            <w:shd w:val="clear" w:color="auto" w:fill="D0E0E3"/>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This will need to be an on-going yearly process.</w:t>
            </w:r>
          </w:p>
        </w:tc>
      </w:tr>
      <w:tr w:rsidR="00E53683">
        <w:tc>
          <w:tcPr>
            <w:tcW w:w="3685" w:type="dxa"/>
          </w:tcPr>
          <w:p w:rsidR="00E53683" w:rsidRDefault="00E53683">
            <w:pPr>
              <w:rPr>
                <w:rFonts w:ascii="Arial" w:eastAsia="Arial" w:hAnsi="Arial" w:cs="Arial"/>
                <w:b/>
                <w:sz w:val="22"/>
                <w:szCs w:val="22"/>
              </w:rPr>
            </w:pPr>
          </w:p>
        </w:tc>
        <w:tc>
          <w:tcPr>
            <w:tcW w:w="9265" w:type="dxa"/>
          </w:tcPr>
          <w:p w:rsidR="00E53683" w:rsidRDefault="002974EE">
            <w:pPr>
              <w:jc w:val="center"/>
              <w:rPr>
                <w:rFonts w:ascii="Arial" w:eastAsia="Arial" w:hAnsi="Arial" w:cs="Arial"/>
                <w:b/>
                <w:sz w:val="22"/>
                <w:szCs w:val="22"/>
              </w:rPr>
            </w:pPr>
            <w:r>
              <w:rPr>
                <w:rFonts w:ascii="Arial" w:eastAsia="Arial" w:hAnsi="Arial" w:cs="Arial"/>
                <w:b/>
                <w:sz w:val="22"/>
                <w:szCs w:val="22"/>
              </w:rPr>
              <w:t>Standard 4</w:t>
            </w:r>
          </w:p>
          <w:p w:rsidR="00E53683" w:rsidRDefault="002974EE">
            <w:pPr>
              <w:jc w:val="center"/>
              <w:rPr>
                <w:rFonts w:ascii="Arial" w:eastAsia="Arial" w:hAnsi="Arial" w:cs="Arial"/>
                <w:b/>
                <w:sz w:val="20"/>
                <w:szCs w:val="20"/>
              </w:rPr>
            </w:pPr>
            <w:r>
              <w:rPr>
                <w:rFonts w:ascii="Open Sans" w:eastAsia="Open Sans" w:hAnsi="Open Sans" w:cs="Open Sans"/>
                <w:b/>
                <w:sz w:val="20"/>
                <w:szCs w:val="20"/>
                <w:highlight w:val="white"/>
              </w:rPr>
              <w:t>Program practices strengthen the P-20 education system in light of local needs and in keeping with the program’s mission.</w:t>
            </w:r>
          </w:p>
        </w:tc>
      </w:tr>
      <w:tr w:rsidR="00E53683">
        <w:tc>
          <w:tcPr>
            <w:tcW w:w="3685" w:type="dxa"/>
          </w:tcPr>
          <w:p w:rsidR="00E53683" w:rsidRDefault="002974EE">
            <w:pPr>
              <w:rPr>
                <w:rFonts w:ascii="Arial" w:eastAsia="Arial" w:hAnsi="Arial" w:cs="Arial"/>
                <w:b/>
                <w:sz w:val="22"/>
                <w:szCs w:val="22"/>
              </w:rPr>
            </w:pPr>
            <w:r>
              <w:rPr>
                <w:rFonts w:ascii="Arial" w:eastAsia="Arial" w:hAnsi="Arial" w:cs="Arial"/>
                <w:b/>
                <w:sz w:val="22"/>
                <w:szCs w:val="22"/>
              </w:rPr>
              <w:t>Goals for the 2022-23 year</w:t>
            </w:r>
          </w:p>
        </w:tc>
        <w:tc>
          <w:tcPr>
            <w:tcW w:w="9265" w:type="dxa"/>
            <w:shd w:val="clear" w:color="auto" w:fill="D0E0E3"/>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Continue to collaborate with school districts to enroll Instructional Assistants into the teacher preparation program to meet the needs of recruiting and developing high-quality educators.</w:t>
            </w:r>
          </w:p>
        </w:tc>
      </w:tr>
      <w:tr w:rsidR="00E53683">
        <w:tc>
          <w:tcPr>
            <w:tcW w:w="3685" w:type="dxa"/>
          </w:tcPr>
          <w:p w:rsidR="00E53683" w:rsidRDefault="002974EE">
            <w:pPr>
              <w:rPr>
                <w:rFonts w:ascii="Arial" w:eastAsia="Arial" w:hAnsi="Arial" w:cs="Arial"/>
                <w:b/>
                <w:strike/>
                <w:sz w:val="22"/>
                <w:szCs w:val="22"/>
              </w:rPr>
            </w:pPr>
            <w:r>
              <w:rPr>
                <w:rFonts w:ascii="Arial" w:eastAsia="Arial" w:hAnsi="Arial" w:cs="Arial"/>
                <w:b/>
                <w:sz w:val="22"/>
                <w:szCs w:val="22"/>
              </w:rPr>
              <w:t>Actions</w:t>
            </w:r>
          </w:p>
        </w:tc>
        <w:tc>
          <w:tcPr>
            <w:tcW w:w="9265" w:type="dxa"/>
            <w:shd w:val="clear" w:color="auto" w:fill="D0E0E3"/>
          </w:tcPr>
          <w:p w:rsidR="00E53683" w:rsidRDefault="002974EE">
            <w:pPr>
              <w:numPr>
                <w:ilvl w:val="0"/>
                <w:numId w:val="14"/>
              </w:numPr>
              <w:rPr>
                <w:rFonts w:ascii="Times New Roman" w:eastAsia="Times New Roman" w:hAnsi="Times New Roman" w:cs="Times New Roman"/>
                <w:sz w:val="22"/>
                <w:szCs w:val="22"/>
              </w:rPr>
            </w:pPr>
            <w:r>
              <w:rPr>
                <w:rFonts w:ascii="Times New Roman" w:eastAsia="Times New Roman" w:hAnsi="Times New Roman" w:cs="Times New Roman"/>
                <w:sz w:val="22"/>
                <w:szCs w:val="22"/>
              </w:rPr>
              <w:t>Meet with school districts in Oregon to develop the IA Pathway for their district (this includes working with Regional Network)</w:t>
            </w:r>
          </w:p>
          <w:p w:rsidR="00E53683" w:rsidRDefault="002974EE">
            <w:pPr>
              <w:numPr>
                <w:ilvl w:val="0"/>
                <w:numId w:val="14"/>
              </w:numPr>
              <w:rPr>
                <w:rFonts w:ascii="Times New Roman" w:eastAsia="Times New Roman" w:hAnsi="Times New Roman" w:cs="Times New Roman"/>
                <w:sz w:val="22"/>
                <w:szCs w:val="22"/>
              </w:rPr>
            </w:pPr>
            <w:r>
              <w:rPr>
                <w:rFonts w:ascii="Times New Roman" w:eastAsia="Times New Roman" w:hAnsi="Times New Roman" w:cs="Times New Roman"/>
                <w:sz w:val="22"/>
                <w:szCs w:val="22"/>
              </w:rPr>
              <w:t>Continue to refine requirements for IA candidates - use feedback to assess opportunities</w:t>
            </w:r>
          </w:p>
        </w:tc>
      </w:tr>
      <w:tr w:rsidR="00E53683">
        <w:tc>
          <w:tcPr>
            <w:tcW w:w="3685" w:type="dxa"/>
          </w:tcPr>
          <w:p w:rsidR="00E53683" w:rsidRDefault="002974EE">
            <w:pPr>
              <w:rPr>
                <w:rFonts w:ascii="Arial" w:eastAsia="Arial" w:hAnsi="Arial" w:cs="Arial"/>
                <w:b/>
                <w:sz w:val="22"/>
                <w:szCs w:val="22"/>
              </w:rPr>
            </w:pPr>
            <w:r>
              <w:rPr>
                <w:rFonts w:ascii="Arial" w:eastAsia="Arial" w:hAnsi="Arial" w:cs="Arial"/>
                <w:b/>
                <w:sz w:val="22"/>
                <w:szCs w:val="22"/>
              </w:rPr>
              <w:t>Expected outcomes</w:t>
            </w:r>
          </w:p>
        </w:tc>
        <w:tc>
          <w:tcPr>
            <w:tcW w:w="9265" w:type="dxa"/>
            <w:shd w:val="clear" w:color="auto" w:fill="D0E0E3"/>
          </w:tcPr>
          <w:p w:rsidR="00E53683" w:rsidRDefault="002974EE">
            <w:pPr>
              <w:numPr>
                <w:ilvl w:val="0"/>
                <w:numId w:val="5"/>
              </w:numPr>
              <w:rPr>
                <w:rFonts w:ascii="Times New Roman" w:eastAsia="Times New Roman" w:hAnsi="Times New Roman" w:cs="Times New Roman"/>
                <w:sz w:val="22"/>
                <w:szCs w:val="22"/>
              </w:rPr>
            </w:pPr>
            <w:r>
              <w:rPr>
                <w:rFonts w:ascii="Times New Roman" w:eastAsia="Times New Roman" w:hAnsi="Times New Roman" w:cs="Times New Roman"/>
                <w:sz w:val="22"/>
                <w:szCs w:val="22"/>
              </w:rPr>
              <w:t>Well-prepared educat</w:t>
            </w:r>
            <w:r>
              <w:rPr>
                <w:rFonts w:ascii="Times New Roman" w:eastAsia="Times New Roman" w:hAnsi="Times New Roman" w:cs="Times New Roman"/>
                <w:sz w:val="22"/>
                <w:szCs w:val="22"/>
              </w:rPr>
              <w:t>ors to meet the teacher shortage in the state of Oregon</w:t>
            </w:r>
          </w:p>
        </w:tc>
      </w:tr>
      <w:tr w:rsidR="00E53683">
        <w:tc>
          <w:tcPr>
            <w:tcW w:w="3685" w:type="dxa"/>
          </w:tcPr>
          <w:p w:rsidR="00E53683" w:rsidRDefault="002974EE">
            <w:pPr>
              <w:rPr>
                <w:rFonts w:ascii="Arial" w:eastAsia="Arial" w:hAnsi="Arial" w:cs="Arial"/>
                <w:b/>
                <w:sz w:val="22"/>
                <w:szCs w:val="22"/>
              </w:rPr>
            </w:pPr>
            <w:r>
              <w:rPr>
                <w:rFonts w:ascii="Arial" w:eastAsia="Arial" w:hAnsi="Arial" w:cs="Arial"/>
                <w:b/>
                <w:sz w:val="22"/>
                <w:szCs w:val="22"/>
              </w:rPr>
              <w:lastRenderedPageBreak/>
              <w:t>Reflections or comments</w:t>
            </w:r>
          </w:p>
        </w:tc>
        <w:tc>
          <w:tcPr>
            <w:tcW w:w="9265" w:type="dxa"/>
            <w:shd w:val="clear" w:color="auto" w:fill="D0E0E3"/>
          </w:tcPr>
          <w:p w:rsidR="00E53683" w:rsidRDefault="00E53683">
            <w:pPr>
              <w:rPr>
                <w:rFonts w:ascii="Arial" w:eastAsia="Arial" w:hAnsi="Arial" w:cs="Arial"/>
                <w:sz w:val="22"/>
                <w:szCs w:val="22"/>
              </w:rPr>
            </w:pPr>
          </w:p>
        </w:tc>
      </w:tr>
    </w:tbl>
    <w:p w:rsidR="00E53683" w:rsidRDefault="00E53683"/>
    <w:p w:rsidR="00E53683" w:rsidRDefault="002974EE">
      <w:pPr>
        <w:keepNext/>
        <w:numPr>
          <w:ilvl w:val="0"/>
          <w:numId w:val="9"/>
        </w:numPr>
        <w:spacing w:after="120"/>
        <w:ind w:left="360"/>
        <w:rPr>
          <w:b/>
        </w:rPr>
      </w:pPr>
      <w:r>
        <w:rPr>
          <w:b/>
          <w:sz w:val="28"/>
          <w:szCs w:val="28"/>
        </w:rPr>
        <w:t>Evidence Related to AAQEP-Identified Concerns or Conditions</w:t>
      </w:r>
    </w:p>
    <w:p w:rsidR="00E53683" w:rsidRDefault="002974EE">
      <w:pPr>
        <w:spacing w:after="200"/>
        <w:rPr>
          <w:i/>
        </w:rPr>
      </w:pPr>
      <w:bookmarkStart w:id="8" w:name="_heading=h.30j0zll" w:colFirst="0" w:colLast="0"/>
      <w:bookmarkEnd w:id="8"/>
      <w:r>
        <w:t xml:space="preserve">This section documents how concerns or conditions that were noted in an accreditation decision are being addressed (indicate “n/a” if no concerns or conditions were noted). Note that where a condition has been noted, a more detailed focused report will be </w:t>
      </w:r>
      <w:r>
        <w:t>needed in addition to the description included here. Please contact staff with any questions regarding this section.</w:t>
      </w:r>
    </w:p>
    <w:tbl>
      <w:tblPr>
        <w:tblStyle w:val="affff2"/>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955"/>
      </w:tblGrid>
      <w:tr w:rsidR="00E53683">
        <w:tc>
          <w:tcPr>
            <w:tcW w:w="12955" w:type="dxa"/>
            <w:shd w:val="clear" w:color="auto" w:fill="D0E0E3"/>
            <w:tcMar>
              <w:top w:w="100" w:type="dxa"/>
              <w:left w:w="100" w:type="dxa"/>
              <w:bottom w:w="100" w:type="dxa"/>
              <w:right w:w="100" w:type="dxa"/>
            </w:tcMar>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N/A</w:t>
            </w:r>
          </w:p>
        </w:tc>
      </w:tr>
    </w:tbl>
    <w:p w:rsidR="00E53683" w:rsidRDefault="00E53683">
      <w:pPr>
        <w:rPr>
          <w:b/>
          <w:sz w:val="28"/>
          <w:szCs w:val="28"/>
        </w:rPr>
      </w:pPr>
    </w:p>
    <w:p w:rsidR="00E53683" w:rsidRDefault="002974EE">
      <w:pPr>
        <w:keepNext/>
        <w:numPr>
          <w:ilvl w:val="0"/>
          <w:numId w:val="9"/>
        </w:numPr>
        <w:spacing w:after="120"/>
        <w:ind w:left="360"/>
        <w:rPr>
          <w:b/>
        </w:rPr>
      </w:pPr>
      <w:r>
        <w:rPr>
          <w:b/>
          <w:sz w:val="28"/>
          <w:szCs w:val="28"/>
        </w:rPr>
        <w:t>Anticipated Growth and Development</w:t>
      </w:r>
    </w:p>
    <w:p w:rsidR="00E53683" w:rsidRDefault="002974EE">
      <w:pPr>
        <w:spacing w:after="200"/>
        <w:rPr>
          <w:i/>
        </w:rPr>
      </w:pPr>
      <w:r>
        <w:t xml:space="preserve">This section summarizes planned improvements, innovations, or anticipated new program developments, including description of any identified potential challenges or barriers. </w:t>
      </w:r>
    </w:p>
    <w:tbl>
      <w:tblPr>
        <w:tblStyle w:val="affff3"/>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955"/>
      </w:tblGrid>
      <w:tr w:rsidR="00E53683">
        <w:trPr>
          <w:trHeight w:val="21"/>
        </w:trPr>
        <w:tc>
          <w:tcPr>
            <w:tcW w:w="12955" w:type="dxa"/>
            <w:shd w:val="clear" w:color="auto" w:fill="D0E0E3"/>
            <w:tcMar>
              <w:top w:w="100" w:type="dxa"/>
              <w:left w:w="100" w:type="dxa"/>
              <w:bottom w:w="100" w:type="dxa"/>
              <w:right w:w="100" w:type="dxa"/>
            </w:tcMar>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challenge all educator preparation programs face and EOU is </w:t>
            </w:r>
            <w:proofErr w:type="spellStart"/>
            <w:r>
              <w:rPr>
                <w:rFonts w:ascii="Times New Roman" w:eastAsia="Times New Roman" w:hAnsi="Times New Roman" w:cs="Times New Roman"/>
                <w:sz w:val="22"/>
                <w:szCs w:val="22"/>
              </w:rPr>
              <w:t>notexception</w:t>
            </w:r>
            <w:proofErr w:type="spellEnd"/>
            <w:r>
              <w:rPr>
                <w:rFonts w:ascii="Times New Roman" w:eastAsia="Times New Roman" w:hAnsi="Times New Roman" w:cs="Times New Roman"/>
                <w:sz w:val="22"/>
                <w:szCs w:val="22"/>
              </w:rPr>
              <w:t xml:space="preserve"> is the</w:t>
            </w:r>
            <w:r>
              <w:rPr>
                <w:rFonts w:ascii="Times New Roman" w:eastAsia="Times New Roman" w:hAnsi="Times New Roman" w:cs="Times New Roman"/>
                <w:sz w:val="22"/>
                <w:szCs w:val="22"/>
              </w:rPr>
              <w:t xml:space="preserve"> lack of interest in the teaching profession. We see fewer and fewer people interested in the career, therefore, it is a challenge to bring candidates into the program. We are working on recruitment efforts (i.e. high school programs, education clubs, IA P</w:t>
            </w:r>
            <w:r>
              <w:rPr>
                <w:rFonts w:ascii="Times New Roman" w:eastAsia="Times New Roman" w:hAnsi="Times New Roman" w:cs="Times New Roman"/>
                <w:sz w:val="22"/>
                <w:szCs w:val="22"/>
              </w:rPr>
              <w:t xml:space="preserve">athway). We believe our unique approach to think nimbly and work with our stakeholders, for example developing the IA Pathway, can lead to better results. </w:t>
            </w:r>
          </w:p>
          <w:p w:rsidR="00E53683" w:rsidRDefault="00E53683">
            <w:pPr>
              <w:rPr>
                <w:rFonts w:ascii="Times New Roman" w:eastAsia="Times New Roman" w:hAnsi="Times New Roman" w:cs="Times New Roman"/>
                <w:sz w:val="22"/>
                <w:szCs w:val="22"/>
              </w:rPr>
            </w:pPr>
          </w:p>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Another challenge is the continued increase in the cost of tuition. Candidates are struggling to st</w:t>
            </w:r>
            <w:r>
              <w:rPr>
                <w:rFonts w:ascii="Times New Roman" w:eastAsia="Times New Roman" w:hAnsi="Times New Roman" w:cs="Times New Roman"/>
                <w:sz w:val="22"/>
                <w:szCs w:val="22"/>
              </w:rPr>
              <w:t xml:space="preserve">ay in programs due to the necessity to continue working (some full-time) while in program. This is a barrier for students. </w:t>
            </w:r>
          </w:p>
        </w:tc>
      </w:tr>
    </w:tbl>
    <w:p w:rsidR="00E53683" w:rsidRDefault="00E53683">
      <w:pPr>
        <w:rPr>
          <w:b/>
          <w:sz w:val="28"/>
          <w:szCs w:val="28"/>
        </w:rPr>
      </w:pPr>
    </w:p>
    <w:p w:rsidR="00E53683" w:rsidRDefault="002974EE">
      <w:pPr>
        <w:keepNext/>
        <w:numPr>
          <w:ilvl w:val="0"/>
          <w:numId w:val="9"/>
        </w:numPr>
        <w:spacing w:after="120"/>
        <w:ind w:left="360"/>
        <w:rPr>
          <w:b/>
        </w:rPr>
      </w:pPr>
      <w:r>
        <w:rPr>
          <w:b/>
          <w:sz w:val="28"/>
          <w:szCs w:val="28"/>
        </w:rPr>
        <w:t>Regulatory Changes</w:t>
      </w:r>
    </w:p>
    <w:p w:rsidR="00E53683" w:rsidRDefault="002974EE">
      <w:pPr>
        <w:spacing w:after="200"/>
        <w:rPr>
          <w:i/>
        </w:rPr>
      </w:pPr>
      <w:r>
        <w:t>This section notes new or anticipated regulatory requirements and the provider’s response to those changes (indicate “n/a” if no changes have been made or are anticipated).</w:t>
      </w:r>
    </w:p>
    <w:tbl>
      <w:tblPr>
        <w:tblStyle w:val="affff4"/>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955"/>
      </w:tblGrid>
      <w:tr w:rsidR="00E53683">
        <w:trPr>
          <w:trHeight w:val="21"/>
        </w:trPr>
        <w:tc>
          <w:tcPr>
            <w:tcW w:w="12955" w:type="dxa"/>
            <w:shd w:val="clear" w:color="auto" w:fill="D0E0E3"/>
            <w:tcMar>
              <w:top w:w="100" w:type="dxa"/>
              <w:left w:w="100" w:type="dxa"/>
              <w:bottom w:w="100" w:type="dxa"/>
              <w:right w:w="100" w:type="dxa"/>
            </w:tcMar>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N/A</w:t>
            </w:r>
          </w:p>
        </w:tc>
      </w:tr>
    </w:tbl>
    <w:p w:rsidR="00E53683" w:rsidRDefault="00E53683">
      <w:pPr>
        <w:rPr>
          <w:b/>
          <w:sz w:val="28"/>
          <w:szCs w:val="28"/>
        </w:rPr>
      </w:pPr>
    </w:p>
    <w:p w:rsidR="00E53683" w:rsidRDefault="002974EE">
      <w:pPr>
        <w:keepNext/>
        <w:spacing w:after="200"/>
        <w:rPr>
          <w:b/>
          <w:sz w:val="28"/>
          <w:szCs w:val="28"/>
        </w:rPr>
      </w:pPr>
      <w:r>
        <w:rPr>
          <w:b/>
          <w:sz w:val="28"/>
          <w:szCs w:val="28"/>
        </w:rPr>
        <w:lastRenderedPageBreak/>
        <w:t xml:space="preserve">10. Sign Off </w:t>
      </w:r>
    </w:p>
    <w:tbl>
      <w:tblPr>
        <w:tblStyle w:val="affff5"/>
        <w:tblW w:w="12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435"/>
        <w:gridCol w:w="6525"/>
      </w:tblGrid>
      <w:tr w:rsidR="00E53683">
        <w:tc>
          <w:tcPr>
            <w:tcW w:w="6435" w:type="dxa"/>
            <w:shd w:val="clear" w:color="auto" w:fill="FFFFFF"/>
            <w:tcMar>
              <w:top w:w="100" w:type="dxa"/>
              <w:left w:w="100" w:type="dxa"/>
              <w:bottom w:w="100" w:type="dxa"/>
              <w:right w:w="100" w:type="dxa"/>
            </w:tcMar>
          </w:tcPr>
          <w:p w:rsidR="00E53683" w:rsidRDefault="002974EE">
            <w:pPr>
              <w:keepNext/>
              <w:rPr>
                <w:rFonts w:ascii="Arial" w:eastAsia="Arial" w:hAnsi="Arial" w:cs="Arial"/>
                <w:sz w:val="22"/>
                <w:szCs w:val="22"/>
              </w:rPr>
            </w:pPr>
            <w:r>
              <w:rPr>
                <w:rFonts w:ascii="Arial" w:eastAsia="Arial" w:hAnsi="Arial" w:cs="Arial"/>
                <w:sz w:val="22"/>
                <w:szCs w:val="22"/>
              </w:rPr>
              <w:t>Provider’s Primary Contact for AAQEP (Name, Title)</w:t>
            </w:r>
          </w:p>
        </w:tc>
        <w:tc>
          <w:tcPr>
            <w:tcW w:w="6525" w:type="dxa"/>
            <w:shd w:val="clear" w:color="auto" w:fill="FFFFFF"/>
            <w:tcMar>
              <w:top w:w="100" w:type="dxa"/>
              <w:left w:w="100" w:type="dxa"/>
              <w:bottom w:w="100" w:type="dxa"/>
              <w:right w:w="100" w:type="dxa"/>
            </w:tcMar>
          </w:tcPr>
          <w:p w:rsidR="00E53683" w:rsidRDefault="002974EE">
            <w:pPr>
              <w:rPr>
                <w:rFonts w:ascii="Arial" w:eastAsia="Arial" w:hAnsi="Arial" w:cs="Arial"/>
                <w:sz w:val="22"/>
                <w:szCs w:val="22"/>
              </w:rPr>
            </w:pPr>
            <w:r>
              <w:rPr>
                <w:rFonts w:ascii="Arial" w:eastAsia="Arial" w:hAnsi="Arial" w:cs="Arial"/>
                <w:sz w:val="22"/>
                <w:szCs w:val="22"/>
              </w:rPr>
              <w:t>Dean/Lead Ad</w:t>
            </w:r>
            <w:r>
              <w:rPr>
                <w:rFonts w:ascii="Arial" w:eastAsia="Arial" w:hAnsi="Arial" w:cs="Arial"/>
                <w:sz w:val="22"/>
                <w:szCs w:val="22"/>
              </w:rPr>
              <w:t>ministrator (Name, Title)</w:t>
            </w:r>
          </w:p>
        </w:tc>
      </w:tr>
      <w:tr w:rsidR="00E53683">
        <w:tc>
          <w:tcPr>
            <w:tcW w:w="6435" w:type="dxa"/>
            <w:shd w:val="clear" w:color="auto" w:fill="D0E0E3"/>
            <w:tcMar>
              <w:top w:w="100" w:type="dxa"/>
              <w:left w:w="100" w:type="dxa"/>
              <w:bottom w:w="100" w:type="dxa"/>
              <w:right w:w="100" w:type="dxa"/>
            </w:tcMar>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Angela </w:t>
            </w:r>
            <w:proofErr w:type="spellStart"/>
            <w:r>
              <w:rPr>
                <w:rFonts w:ascii="Times New Roman" w:eastAsia="Times New Roman" w:hAnsi="Times New Roman" w:cs="Times New Roman"/>
                <w:sz w:val="22"/>
                <w:szCs w:val="22"/>
              </w:rPr>
              <w:t>Vossenkuhl</w:t>
            </w:r>
            <w:proofErr w:type="spellEnd"/>
            <w:r>
              <w:rPr>
                <w:rFonts w:ascii="Times New Roman" w:eastAsia="Times New Roman" w:hAnsi="Times New Roman" w:cs="Times New Roman"/>
                <w:sz w:val="22"/>
                <w:szCs w:val="22"/>
              </w:rPr>
              <w:t>, Interim Chair</w:t>
            </w:r>
          </w:p>
        </w:tc>
        <w:tc>
          <w:tcPr>
            <w:tcW w:w="6525" w:type="dxa"/>
            <w:shd w:val="clear" w:color="auto" w:fill="D0E0E3"/>
            <w:tcMar>
              <w:top w:w="100" w:type="dxa"/>
              <w:left w:w="100" w:type="dxa"/>
              <w:bottom w:w="100" w:type="dxa"/>
              <w:right w:w="100" w:type="dxa"/>
            </w:tcMar>
          </w:tcPr>
          <w:p w:rsidR="00E53683" w:rsidRDefault="002974EE">
            <w:pPr>
              <w:rPr>
                <w:rFonts w:ascii="Times New Roman" w:eastAsia="Times New Roman" w:hAnsi="Times New Roman" w:cs="Times New Roman"/>
                <w:sz w:val="22"/>
                <w:szCs w:val="22"/>
              </w:rPr>
            </w:pPr>
            <w:r>
              <w:rPr>
                <w:rFonts w:ascii="Times New Roman" w:eastAsia="Times New Roman" w:hAnsi="Times New Roman" w:cs="Times New Roman"/>
                <w:sz w:val="22"/>
                <w:szCs w:val="22"/>
              </w:rPr>
              <w:t>Rae Ette Newman, Interim Dean</w:t>
            </w:r>
          </w:p>
        </w:tc>
      </w:tr>
    </w:tbl>
    <w:p w:rsidR="00E53683" w:rsidRDefault="00E53683">
      <w:pPr>
        <w:rPr>
          <w:b/>
          <w:sz w:val="28"/>
          <w:szCs w:val="28"/>
        </w:rPr>
      </w:pPr>
    </w:p>
    <w:p w:rsidR="00E53683" w:rsidRDefault="00E53683">
      <w:pPr>
        <w:spacing w:before="120"/>
      </w:pPr>
    </w:p>
    <w:tbl>
      <w:tblPr>
        <w:tblStyle w:val="affff6"/>
        <w:tblW w:w="6390"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3885"/>
      </w:tblGrid>
      <w:tr w:rsidR="00E53683">
        <w:tc>
          <w:tcPr>
            <w:tcW w:w="250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E53683" w:rsidRDefault="002974EE">
            <w:r>
              <w:t>Date sent to AAQEP:</w:t>
            </w:r>
          </w:p>
        </w:tc>
        <w:tc>
          <w:tcPr>
            <w:tcW w:w="3885"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tcPr>
          <w:p w:rsidR="00E53683" w:rsidRDefault="002974EE">
            <w:pPr>
              <w:widowControl w:val="0"/>
              <w:pBdr>
                <w:top w:val="nil"/>
                <w:left w:val="nil"/>
                <w:bottom w:val="nil"/>
                <w:right w:val="nil"/>
                <w:between w:val="nil"/>
              </w:pBdr>
            </w:pPr>
            <w:r>
              <w:t>12/30/2022</w:t>
            </w:r>
          </w:p>
        </w:tc>
      </w:tr>
    </w:tbl>
    <w:p w:rsidR="00E53683" w:rsidRDefault="00E53683">
      <w:pPr>
        <w:spacing w:before="120"/>
        <w:rPr>
          <w:shd w:val="clear" w:color="auto" w:fill="D0E0E3"/>
        </w:rPr>
      </w:pPr>
    </w:p>
    <w:sectPr w:rsidR="00E53683">
      <w:type w:val="continuous"/>
      <w:pgSz w:w="15840" w:h="12240" w:orient="landscape"/>
      <w:pgMar w:top="1260" w:right="1440" w:bottom="1440" w:left="1440" w:header="720" w:footer="4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974EE">
      <w:pPr>
        <w:spacing w:line="240" w:lineRule="auto"/>
      </w:pPr>
      <w:r>
        <w:separator/>
      </w:r>
    </w:p>
  </w:endnote>
  <w:endnote w:type="continuationSeparator" w:id="0">
    <w:p w:rsidR="00000000" w:rsidRDefault="00297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default"/>
  </w:font>
  <w:font w:name="Arial Unicode MS">
    <w:altName w:val="Arial"/>
    <w:panose1 w:val="020B0604020202020204"/>
    <w:charset w:val="00"/>
    <w:family w:val="auto"/>
    <w:pitch w:val="default"/>
  </w:font>
  <w:font w:name="Open Sans">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683" w:rsidRDefault="002974EE">
    <w:pPr>
      <w:tabs>
        <w:tab w:val="right" w:pos="12960"/>
      </w:tabs>
    </w:pPr>
    <w:r>
      <w:t>© Association for Advancing Quality in Educator Preparation – September 2022</w:t>
    </w:r>
    <w:r>
      <w:tab/>
    </w: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683" w:rsidRDefault="002974EE">
    <w:pPr>
      <w:tabs>
        <w:tab w:val="right" w:pos="12960"/>
      </w:tabs>
    </w:pPr>
    <w:r>
      <w:t>© Association for Advancing Quality in Educator Preparation – September 2022</w:t>
    </w:r>
    <w: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974EE">
      <w:pPr>
        <w:spacing w:line="240" w:lineRule="auto"/>
      </w:pPr>
      <w:r>
        <w:separator/>
      </w:r>
    </w:p>
  </w:footnote>
  <w:footnote w:type="continuationSeparator" w:id="0">
    <w:p w:rsidR="00000000" w:rsidRDefault="002974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683" w:rsidRDefault="002974EE">
    <w:pPr>
      <w:spacing w:after="360" w:line="240" w:lineRule="auto"/>
      <w:jc w:val="center"/>
      <w:rPr>
        <w:rFonts w:ascii="Century Gothic" w:eastAsia="Century Gothic" w:hAnsi="Century Gothic" w:cs="Century Gothic"/>
        <w:sz w:val="21"/>
        <w:szCs w:val="21"/>
      </w:rPr>
    </w:pPr>
    <w:r>
      <w:rPr>
        <w:rFonts w:ascii="Century Gothic" w:eastAsia="Century Gothic" w:hAnsi="Century Gothic" w:cs="Century Gothic"/>
        <w:noProof/>
        <w:sz w:val="21"/>
        <w:szCs w:val="21"/>
      </w:rPr>
      <w:drawing>
        <wp:inline distT="114300" distB="114300" distL="114300" distR="114300">
          <wp:extent cx="1821141" cy="1338263"/>
          <wp:effectExtent l="0" t="0" r="0" b="0"/>
          <wp:docPr id="2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21141" cy="13382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F01D0"/>
    <w:multiLevelType w:val="multilevel"/>
    <w:tmpl w:val="72664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DB4DAC"/>
    <w:multiLevelType w:val="multilevel"/>
    <w:tmpl w:val="F31885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0F1039D"/>
    <w:multiLevelType w:val="multilevel"/>
    <w:tmpl w:val="BE24F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44428C"/>
    <w:multiLevelType w:val="multilevel"/>
    <w:tmpl w:val="65AAB5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61951A4"/>
    <w:multiLevelType w:val="multilevel"/>
    <w:tmpl w:val="68944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09139C"/>
    <w:multiLevelType w:val="multilevel"/>
    <w:tmpl w:val="DEA28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436569"/>
    <w:multiLevelType w:val="multilevel"/>
    <w:tmpl w:val="6BA04C3C"/>
    <w:lvl w:ilvl="0">
      <w:start w:val="7"/>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D432936"/>
    <w:multiLevelType w:val="multilevel"/>
    <w:tmpl w:val="8B76B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EF61E5"/>
    <w:multiLevelType w:val="multilevel"/>
    <w:tmpl w:val="B3A2DF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4500C74"/>
    <w:multiLevelType w:val="multilevel"/>
    <w:tmpl w:val="FE6626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E9A4F5D"/>
    <w:multiLevelType w:val="multilevel"/>
    <w:tmpl w:val="B0F07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1A72AC"/>
    <w:multiLevelType w:val="multilevel"/>
    <w:tmpl w:val="EE165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C15C72"/>
    <w:multiLevelType w:val="multilevel"/>
    <w:tmpl w:val="8E861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E81FB4"/>
    <w:multiLevelType w:val="multilevel"/>
    <w:tmpl w:val="CBB68C00"/>
    <w:lvl w:ilvl="0">
      <w:start w:val="2"/>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9F04DFF"/>
    <w:multiLevelType w:val="multilevel"/>
    <w:tmpl w:val="022CC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9"/>
  </w:num>
  <w:num w:numId="4">
    <w:abstractNumId w:val="8"/>
  </w:num>
  <w:num w:numId="5">
    <w:abstractNumId w:val="5"/>
  </w:num>
  <w:num w:numId="6">
    <w:abstractNumId w:val="4"/>
  </w:num>
  <w:num w:numId="7">
    <w:abstractNumId w:val="10"/>
  </w:num>
  <w:num w:numId="8">
    <w:abstractNumId w:val="14"/>
  </w:num>
  <w:num w:numId="9">
    <w:abstractNumId w:val="6"/>
  </w:num>
  <w:num w:numId="10">
    <w:abstractNumId w:val="13"/>
  </w:num>
  <w:num w:numId="11">
    <w:abstractNumId w:val="2"/>
  </w:num>
  <w:num w:numId="12">
    <w:abstractNumId w:val="7"/>
  </w:num>
  <w:num w:numId="13">
    <w:abstractNumId w:val="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683"/>
    <w:rsid w:val="002974EE"/>
    <w:rsid w:val="00E5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4C7AC-BCA3-4881-AC15-D1A941F6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E3C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CEC"/>
    <w:rPr>
      <w:rFonts w:ascii="Segoe UI" w:hAnsi="Segoe UI" w:cs="Segoe UI"/>
      <w:sz w:val="18"/>
      <w:szCs w:val="18"/>
    </w:rPr>
  </w:style>
  <w:style w:type="paragraph" w:styleId="Header">
    <w:name w:val="header"/>
    <w:basedOn w:val="Normal"/>
    <w:link w:val="HeaderChar"/>
    <w:uiPriority w:val="99"/>
    <w:unhideWhenUsed/>
    <w:rsid w:val="001A718C"/>
    <w:pPr>
      <w:tabs>
        <w:tab w:val="center" w:pos="4680"/>
        <w:tab w:val="right" w:pos="9360"/>
      </w:tabs>
      <w:spacing w:line="240" w:lineRule="auto"/>
    </w:pPr>
  </w:style>
  <w:style w:type="character" w:customStyle="1" w:styleId="HeaderChar">
    <w:name w:val="Header Char"/>
    <w:basedOn w:val="DefaultParagraphFont"/>
    <w:link w:val="Header"/>
    <w:uiPriority w:val="99"/>
    <w:rsid w:val="001A718C"/>
  </w:style>
  <w:style w:type="paragraph" w:styleId="Footer">
    <w:name w:val="footer"/>
    <w:basedOn w:val="Normal"/>
    <w:link w:val="FooterChar"/>
    <w:uiPriority w:val="99"/>
    <w:unhideWhenUsed/>
    <w:rsid w:val="001A718C"/>
    <w:pPr>
      <w:tabs>
        <w:tab w:val="center" w:pos="4680"/>
        <w:tab w:val="right" w:pos="9360"/>
      </w:tabs>
      <w:spacing w:line="240" w:lineRule="auto"/>
    </w:pPr>
  </w:style>
  <w:style w:type="character" w:customStyle="1" w:styleId="FooterChar">
    <w:name w:val="Footer Char"/>
    <w:basedOn w:val="DefaultParagraphFont"/>
    <w:link w:val="Footer"/>
    <w:uiPriority w:val="99"/>
    <w:rsid w:val="001A718C"/>
  </w:style>
  <w:style w:type="table" w:styleId="TableGrid">
    <w:name w:val="Table Grid"/>
    <w:basedOn w:val="TableNormal"/>
    <w:uiPriority w:val="39"/>
    <w:rsid w:val="008C4E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e">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0">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1">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2">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3">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4">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5">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6">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7">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8">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9">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a">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b">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c">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d">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e">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0">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1">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2">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3">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4">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5">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6">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7">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8">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9">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a">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b">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e">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0">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1">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2">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3">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4">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5">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6">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591C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591C08"/>
    <w:rPr>
      <w:color w:val="0000FF"/>
      <w:u w:val="single"/>
    </w:rPr>
  </w:style>
  <w:style w:type="table" w:customStyle="1" w:styleId="afff8">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9">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a">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b">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c">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d">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e">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f">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f0">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f1">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f2">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f3">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f4">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f5">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 w:type="table" w:customStyle="1" w:styleId="affff6">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rive.google.com/open?id=1_29qj_Q7R3OAEXb8xhs6OipfWIsh4Qa1" TargetMode="External"/><Relationship Id="rId18" Type="http://schemas.openxmlformats.org/officeDocument/2006/relationships/hyperlink" Target="https://secure.sos.state.or.us/oard/viewSingleRule.action?ruleVrsnRsn=24535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rive.google.com/open?id=1IqhqE35zUHoki_mVH3cQGyo_w8zCS_K72I5qRZi4GE4" TargetMode="External"/><Relationship Id="rId7" Type="http://schemas.openxmlformats.org/officeDocument/2006/relationships/endnotes" Target="endnotes.xml"/><Relationship Id="rId12" Type="http://schemas.openxmlformats.org/officeDocument/2006/relationships/hyperlink" Target="https://drive.google.com/file/d/1aIsWH0kvW_4xnQ0Ffui5kVBDuvXNucDs/view?usp=sharing" TargetMode="External"/><Relationship Id="rId17" Type="http://schemas.openxmlformats.org/officeDocument/2006/relationships/hyperlink" Target="https://docs.google.com/file/d/0B8CjoJh1QNRKTUZuX2ZrNmV4S0E/edit" TargetMode="External"/><Relationship Id="rId25" Type="http://schemas.openxmlformats.org/officeDocument/2006/relationships/hyperlink" Target="https://drive.google.com/open?id=1sQNSpca8ELeIyoy4aU_h-3YfZCy4e2btG_FBxxB9gjQ" TargetMode="External"/><Relationship Id="rId2" Type="http://schemas.openxmlformats.org/officeDocument/2006/relationships/numbering" Target="numbering.xml"/><Relationship Id="rId16" Type="http://schemas.openxmlformats.org/officeDocument/2006/relationships/hyperlink" Target="https://drive.google.com/open?id=1Lu92QzI1NiijiJYXD0LjjI-d7SuiAf9W9AP-BAcU3aA" TargetMode="External"/><Relationship Id="rId20" Type="http://schemas.openxmlformats.org/officeDocument/2006/relationships/hyperlink" Target="https://drive.google.com/open?id=1anrq8X9BiqWuAcz10wZAq3sYU1HqxCNIeJEamINtHX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ou.edu/institutional-effectiveness/mission-core-themes/" TargetMode="External"/><Relationship Id="rId24" Type="http://schemas.openxmlformats.org/officeDocument/2006/relationships/hyperlink" Target="https://drive.google.com/open?id=1c6MYjBggtgdFOXsDTCgKdHZFVvWuuChJ_brnM1I3wU8" TargetMode="External"/><Relationship Id="rId5" Type="http://schemas.openxmlformats.org/officeDocument/2006/relationships/webSettings" Target="webSettings.xml"/><Relationship Id="rId15" Type="http://schemas.openxmlformats.org/officeDocument/2006/relationships/hyperlink" Target="https://drive.google.com/file/d/1aIsWH0kvW_4xnQ0Ffui5kVBDuvXNucDs/view?usp=sharing" TargetMode="External"/><Relationship Id="rId23" Type="http://schemas.openxmlformats.org/officeDocument/2006/relationships/hyperlink" Target="https://docs.google.com/document/d/1TSZEwNYXDjkWvxD4UyQmbSDgMA4zcwJJ1ELBbwzBhq0/edit" TargetMode="Externa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rive.google.com/open?id=1nSjqYwmLbFWo2FESkb590UF6rZWa0Hy6" TargetMode="External"/><Relationship Id="rId22" Type="http://schemas.openxmlformats.org/officeDocument/2006/relationships/hyperlink" Target="https://docs.google.com/document/d/1ZZEJxEKXoPCWO1S6mMnkyscTrfRx4IFWhKzFLkqDvrE/edi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hijUfE9uwWnMkCPI4GdKdsxEpA==">AMUW2mVj8+gGR71Vtdu2ZcwxqaSBIAhwkjIj9t5IYi/w4qrptkxnwakLcHu7/+eQi2kgK29gwAgJkJ1WVbdZ/c3BOYdvQLhX/XTOk9zzO87niNh8CQMFPojazbL0KAaYF9qH9ndmZwac76DLBCA7FBfarnR82Nb8+1IN0wQ8vOWAVBKRJxDc8hSEi39rHQT/jJl6qwFr8nsGWBuGPWGrhRMmT72ELWXSnw9JjFEhIabTGAD2MRZoSTYRewNeObr9TyWClMz1P5R2CT+WDMg7UXWEA7oeInBr+R1mgJTEax03QN8JHC2rnqup2CyUjjCjwnn7NDFtrytpPhJEDgdYw/4axs9bvllap9SBjetGcyb4iV/TFQ36GNB0ET/1Jrvfh/HTid4Yd1cwS+DLAIzJrEitFPElJAPd+u0JBGKlBILfRqEsb64ZbpsFb+BXDGt3gzxkKlGNIz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5548</Words>
  <Characters>31630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McCabe</dc:creator>
  <cp:lastModifiedBy>Elizabeth Upshaw</cp:lastModifiedBy>
  <cp:revision>2</cp:revision>
  <dcterms:created xsi:type="dcterms:W3CDTF">2023-01-03T19:05:00Z</dcterms:created>
  <dcterms:modified xsi:type="dcterms:W3CDTF">2023-01-03T19:05:00Z</dcterms:modified>
</cp:coreProperties>
</file>